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2A303" w14:textId="326404C9" w:rsidR="003A78F9" w:rsidRPr="00D85F3A" w:rsidRDefault="006819F7" w:rsidP="003A78F9">
      <w:pPr>
        <w:jc w:val="center"/>
        <w:outlineLvl w:val="0"/>
        <w:rPr>
          <w:rFonts w:ascii="Calibri Light" w:hAnsi="Calibri Light" w:cs="Calibri Light"/>
          <w:b/>
          <w:sz w:val="28"/>
          <w:szCs w:val="28"/>
        </w:rPr>
      </w:pPr>
      <w:r w:rsidRPr="00D85F3A">
        <w:rPr>
          <w:rFonts w:ascii="Calibri Light" w:hAnsi="Calibri Light" w:cs="Calibri Light"/>
          <w:b/>
          <w:sz w:val="28"/>
          <w:szCs w:val="28"/>
        </w:rPr>
        <w:t>ClinicalTrials.gov Program</w:t>
      </w:r>
      <w:r w:rsidR="00EB4C91">
        <w:rPr>
          <w:rFonts w:ascii="Calibri Light" w:hAnsi="Calibri Light" w:cs="Calibri Light"/>
          <w:b/>
          <w:sz w:val="28"/>
          <w:szCs w:val="28"/>
        </w:rPr>
        <w:t xml:space="preserve"> 20</w:t>
      </w:r>
      <w:r w:rsidR="00BA55CA">
        <w:rPr>
          <w:rFonts w:ascii="Calibri Light" w:hAnsi="Calibri Light" w:cs="Calibri Light"/>
          <w:b/>
          <w:sz w:val="28"/>
          <w:szCs w:val="28"/>
        </w:rPr>
        <w:t>20</w:t>
      </w:r>
      <w:r w:rsidR="00EB4C91">
        <w:rPr>
          <w:rFonts w:ascii="Calibri Light" w:hAnsi="Calibri Light" w:cs="Calibri Light"/>
          <w:b/>
          <w:sz w:val="28"/>
          <w:szCs w:val="28"/>
        </w:rPr>
        <w:t xml:space="preserve"> Annual Update</w:t>
      </w:r>
    </w:p>
    <w:p w14:paraId="71F465F4" w14:textId="77777777" w:rsidR="003A78F9" w:rsidRPr="003A78F9" w:rsidRDefault="002E1B6B" w:rsidP="002B2E31">
      <w:pPr>
        <w:spacing w:before="0" w:beforeAutospacing="0" w:after="0" w:afterAutospacing="0"/>
        <w:outlineLvl w:val="0"/>
        <w:rPr>
          <w:rFonts w:asciiTheme="majorHAnsi" w:hAnsiTheme="majorHAnsi" w:cstheme="majorHAnsi"/>
          <w:b/>
          <w:szCs w:val="22"/>
        </w:rPr>
      </w:pPr>
      <w:r w:rsidRPr="002E1B6B">
        <w:rPr>
          <w:rFonts w:asciiTheme="majorHAnsi" w:hAnsiTheme="majorHAnsi" w:cstheme="majorHAnsi"/>
          <w:b/>
          <w:szCs w:val="22"/>
        </w:rPr>
        <w:t>ROLE OF OFFICE</w:t>
      </w:r>
    </w:p>
    <w:p w14:paraId="73B7652B" w14:textId="260A7F81" w:rsidR="00651513" w:rsidRDefault="006819F7" w:rsidP="002B2E31">
      <w:pPr>
        <w:spacing w:before="0" w:beforeAutospacing="0" w:after="0" w:afterAutospacing="0"/>
        <w:ind w:left="720"/>
        <w:rPr>
          <w:rFonts w:asciiTheme="minorHAnsi" w:hAnsiTheme="minorHAnsi" w:cstheme="minorHAnsi"/>
          <w:szCs w:val="22"/>
        </w:rPr>
      </w:pPr>
      <w:r w:rsidRPr="006819F7">
        <w:rPr>
          <w:rFonts w:asciiTheme="minorHAnsi" w:hAnsiTheme="minorHAnsi" w:cstheme="minorHAnsi"/>
          <w:szCs w:val="22"/>
        </w:rPr>
        <w:t xml:space="preserve">The </w:t>
      </w:r>
      <w:r w:rsidR="00A96C9B">
        <w:rPr>
          <w:rFonts w:asciiTheme="minorHAnsi" w:hAnsiTheme="minorHAnsi" w:cstheme="minorHAnsi"/>
          <w:szCs w:val="22"/>
        </w:rPr>
        <w:t>ClinicalTrials.gov Program</w:t>
      </w:r>
      <w:r w:rsidRPr="006819F7">
        <w:rPr>
          <w:rFonts w:asciiTheme="minorHAnsi" w:hAnsiTheme="minorHAnsi" w:cstheme="minorHAnsi"/>
          <w:szCs w:val="22"/>
        </w:rPr>
        <w:t xml:space="preserve"> was created in 2016 to support research teams with registration and reporting requirements</w:t>
      </w:r>
      <w:r w:rsidR="00A96C9B">
        <w:rPr>
          <w:rFonts w:asciiTheme="minorHAnsi" w:hAnsiTheme="minorHAnsi" w:cstheme="minorHAnsi"/>
          <w:szCs w:val="22"/>
        </w:rPr>
        <w:t xml:space="preserve"> for clinical trials</w:t>
      </w:r>
      <w:r w:rsidR="00651513">
        <w:rPr>
          <w:rFonts w:asciiTheme="minorHAnsi" w:hAnsiTheme="minorHAnsi" w:cstheme="minorHAnsi"/>
          <w:szCs w:val="22"/>
        </w:rPr>
        <w:t xml:space="preserve"> to avoid penalties</w:t>
      </w:r>
      <w:r w:rsidRPr="006819F7">
        <w:rPr>
          <w:rFonts w:asciiTheme="minorHAnsi" w:hAnsiTheme="minorHAnsi" w:cstheme="minorHAnsi"/>
          <w:szCs w:val="22"/>
        </w:rPr>
        <w:t>.</w:t>
      </w:r>
      <w:r w:rsidR="00651513">
        <w:rPr>
          <w:rFonts w:asciiTheme="minorHAnsi" w:hAnsiTheme="minorHAnsi" w:cstheme="minorHAnsi"/>
          <w:szCs w:val="22"/>
        </w:rPr>
        <w:t xml:space="preserve"> These could include manuscript rejections for late registration of studies and monetary penalty of $1</w:t>
      </w:r>
      <w:r w:rsidR="00035D51">
        <w:rPr>
          <w:rFonts w:asciiTheme="minorHAnsi" w:hAnsiTheme="minorHAnsi" w:cstheme="minorHAnsi"/>
          <w:szCs w:val="22"/>
        </w:rPr>
        <w:t>2</w:t>
      </w:r>
      <w:r w:rsidR="00651513">
        <w:rPr>
          <w:rFonts w:asciiTheme="minorHAnsi" w:hAnsiTheme="minorHAnsi" w:cstheme="minorHAnsi"/>
          <w:szCs w:val="22"/>
        </w:rPr>
        <w:t>,</w:t>
      </w:r>
      <w:r w:rsidR="00035D51">
        <w:rPr>
          <w:rFonts w:asciiTheme="minorHAnsi" w:hAnsiTheme="minorHAnsi" w:cstheme="minorHAnsi"/>
          <w:szCs w:val="22"/>
        </w:rPr>
        <w:t>316</w:t>
      </w:r>
      <w:r w:rsidR="00651513">
        <w:rPr>
          <w:rFonts w:asciiTheme="minorHAnsi" w:hAnsiTheme="minorHAnsi" w:cstheme="minorHAnsi"/>
          <w:szCs w:val="22"/>
        </w:rPr>
        <w:t xml:space="preserve"> per study per day, for </w:t>
      </w:r>
      <w:r w:rsidR="00035D51">
        <w:rPr>
          <w:rFonts w:asciiTheme="minorHAnsi" w:hAnsiTheme="minorHAnsi" w:cstheme="minorHAnsi"/>
          <w:szCs w:val="22"/>
        </w:rPr>
        <w:t>failure to submit required information or submitting false or misleading information</w:t>
      </w:r>
      <w:r w:rsidR="00651513">
        <w:rPr>
          <w:rFonts w:asciiTheme="minorHAnsi" w:hAnsiTheme="minorHAnsi" w:cstheme="minorHAnsi"/>
          <w:szCs w:val="22"/>
        </w:rPr>
        <w:t>.</w:t>
      </w:r>
      <w:r w:rsidRPr="006819F7">
        <w:rPr>
          <w:rFonts w:asciiTheme="minorHAnsi" w:hAnsiTheme="minorHAnsi" w:cstheme="minorHAnsi"/>
          <w:szCs w:val="22"/>
        </w:rPr>
        <w:t xml:space="preserve"> </w:t>
      </w:r>
    </w:p>
    <w:p w14:paraId="2B5B1AFA" w14:textId="77777777" w:rsidR="00651513" w:rsidRDefault="00651513" w:rsidP="002B2E31">
      <w:pPr>
        <w:spacing w:before="0" w:beforeAutospacing="0" w:after="0" w:afterAutospacing="0"/>
        <w:ind w:left="720"/>
        <w:rPr>
          <w:rFonts w:asciiTheme="minorHAnsi" w:hAnsiTheme="minorHAnsi" w:cstheme="minorHAnsi"/>
          <w:szCs w:val="22"/>
        </w:rPr>
      </w:pPr>
    </w:p>
    <w:p w14:paraId="47F846DD" w14:textId="4C77B236" w:rsidR="006819F7" w:rsidRDefault="00BD66E9" w:rsidP="002B2E31">
      <w:pPr>
        <w:spacing w:before="0" w:beforeAutospacing="0" w:after="0" w:afterAutospacing="0"/>
        <w:ind w:left="720"/>
        <w:rPr>
          <w:rFonts w:asciiTheme="minorHAnsi" w:hAnsiTheme="minorHAnsi" w:cstheme="minorHAnsi"/>
          <w:szCs w:val="22"/>
        </w:rPr>
      </w:pPr>
      <w:r>
        <w:rPr>
          <w:rFonts w:asciiTheme="minorHAnsi" w:hAnsiTheme="minorHAnsi" w:cstheme="minorHAnsi"/>
          <w:szCs w:val="22"/>
        </w:rPr>
        <w:t>Our</w:t>
      </w:r>
      <w:r w:rsidR="000559E0">
        <w:rPr>
          <w:rFonts w:asciiTheme="minorHAnsi" w:hAnsiTheme="minorHAnsi" w:cstheme="minorHAnsi"/>
          <w:szCs w:val="22"/>
        </w:rPr>
        <w:t xml:space="preserve"> </w:t>
      </w:r>
      <w:r>
        <w:rPr>
          <w:rFonts w:asciiTheme="minorHAnsi" w:hAnsiTheme="minorHAnsi" w:cstheme="minorHAnsi"/>
          <w:szCs w:val="22"/>
        </w:rPr>
        <w:t>P</w:t>
      </w:r>
      <w:r w:rsidR="00A96C9B">
        <w:rPr>
          <w:rFonts w:asciiTheme="minorHAnsi" w:hAnsiTheme="minorHAnsi" w:cstheme="minorHAnsi"/>
          <w:szCs w:val="22"/>
        </w:rPr>
        <w:t>rogram</w:t>
      </w:r>
      <w:r w:rsidR="000559E0">
        <w:rPr>
          <w:rFonts w:asciiTheme="minorHAnsi" w:hAnsiTheme="minorHAnsi" w:cstheme="minorHAnsi"/>
          <w:szCs w:val="22"/>
        </w:rPr>
        <w:t xml:space="preserve"> </w:t>
      </w:r>
      <w:r>
        <w:rPr>
          <w:rFonts w:asciiTheme="minorHAnsi" w:hAnsiTheme="minorHAnsi" w:cstheme="minorHAnsi"/>
          <w:szCs w:val="22"/>
        </w:rPr>
        <w:t xml:space="preserve">manages two different ClinicalTrials.gov </w:t>
      </w:r>
      <w:r w:rsidR="000936F0">
        <w:rPr>
          <w:rFonts w:asciiTheme="minorHAnsi" w:hAnsiTheme="minorHAnsi" w:cstheme="minorHAnsi"/>
          <w:szCs w:val="22"/>
        </w:rPr>
        <w:t>Protocol Registration and Results System (PRS)</w:t>
      </w:r>
      <w:r>
        <w:rPr>
          <w:rFonts w:asciiTheme="minorHAnsi" w:hAnsiTheme="minorHAnsi" w:cstheme="minorHAnsi"/>
          <w:szCs w:val="22"/>
        </w:rPr>
        <w:t xml:space="preserve"> accounts; </w:t>
      </w:r>
      <w:r w:rsidR="001C703C">
        <w:rPr>
          <w:rFonts w:asciiTheme="minorHAnsi" w:hAnsiTheme="minorHAnsi" w:cstheme="minorHAnsi"/>
          <w:szCs w:val="22"/>
        </w:rPr>
        <w:t>one for the School of Medicine (SOM) and</w:t>
      </w:r>
      <w:r w:rsidR="000559E0">
        <w:rPr>
          <w:rFonts w:asciiTheme="minorHAnsi" w:hAnsiTheme="minorHAnsi" w:cstheme="minorHAnsi"/>
          <w:szCs w:val="22"/>
        </w:rPr>
        <w:t xml:space="preserve"> School of Nursing (SON) and the</w:t>
      </w:r>
      <w:r w:rsidR="001C703C">
        <w:rPr>
          <w:rFonts w:asciiTheme="minorHAnsi" w:hAnsiTheme="minorHAnsi" w:cstheme="minorHAnsi"/>
          <w:szCs w:val="22"/>
        </w:rPr>
        <w:t xml:space="preserve"> other for the</w:t>
      </w:r>
      <w:r w:rsidR="000559E0">
        <w:rPr>
          <w:rFonts w:asciiTheme="minorHAnsi" w:hAnsiTheme="minorHAnsi" w:cstheme="minorHAnsi"/>
          <w:szCs w:val="22"/>
        </w:rPr>
        <w:t xml:space="preserve"> Sidney Kimmel Comprehensive Cancer Center (SKCCC). </w:t>
      </w:r>
      <w:r w:rsidR="006819F7" w:rsidRPr="006819F7">
        <w:rPr>
          <w:rFonts w:asciiTheme="minorHAnsi" w:hAnsiTheme="minorHAnsi" w:cstheme="minorHAnsi"/>
          <w:szCs w:val="22"/>
        </w:rPr>
        <w:t>Administrator</w:t>
      </w:r>
      <w:r w:rsidR="00A96C9B">
        <w:rPr>
          <w:rFonts w:asciiTheme="minorHAnsi" w:hAnsiTheme="minorHAnsi" w:cstheme="minorHAnsi"/>
          <w:szCs w:val="22"/>
        </w:rPr>
        <w:t>s</w:t>
      </w:r>
      <w:r w:rsidR="006819F7" w:rsidRPr="006819F7">
        <w:rPr>
          <w:rFonts w:asciiTheme="minorHAnsi" w:hAnsiTheme="minorHAnsi" w:cstheme="minorHAnsi"/>
          <w:szCs w:val="22"/>
        </w:rPr>
        <w:t xml:space="preserve"> monitor all studies to identify current or pending noncompliance. We reach out to multiple PIs every day. </w:t>
      </w:r>
      <w:r w:rsidR="006819F7" w:rsidRPr="006819F7">
        <w:rPr>
          <w:rFonts w:asciiTheme="minorHAnsi" w:hAnsiTheme="minorHAnsi" w:cstheme="minorHAnsi"/>
          <w:b/>
          <w:szCs w:val="22"/>
        </w:rPr>
        <w:t xml:space="preserve">If our </w:t>
      </w:r>
      <w:r w:rsidR="00A96C9B">
        <w:rPr>
          <w:rFonts w:asciiTheme="minorHAnsi" w:hAnsiTheme="minorHAnsi" w:cstheme="minorHAnsi"/>
          <w:b/>
          <w:szCs w:val="22"/>
        </w:rPr>
        <w:t>Program</w:t>
      </w:r>
      <w:r w:rsidR="006819F7" w:rsidRPr="006819F7">
        <w:rPr>
          <w:rFonts w:asciiTheme="minorHAnsi" w:hAnsiTheme="minorHAnsi" w:cstheme="minorHAnsi"/>
          <w:b/>
          <w:szCs w:val="22"/>
        </w:rPr>
        <w:t xml:space="preserve"> contacts you, we urge you to respond fully and </w:t>
      </w:r>
      <w:r w:rsidR="00C94EC3">
        <w:rPr>
          <w:rFonts w:asciiTheme="minorHAnsi" w:hAnsiTheme="minorHAnsi" w:cstheme="minorHAnsi"/>
          <w:b/>
          <w:szCs w:val="22"/>
        </w:rPr>
        <w:t xml:space="preserve">in a </w:t>
      </w:r>
      <w:r w:rsidR="006819F7" w:rsidRPr="006819F7">
        <w:rPr>
          <w:rFonts w:asciiTheme="minorHAnsi" w:hAnsiTheme="minorHAnsi" w:cstheme="minorHAnsi"/>
          <w:b/>
          <w:szCs w:val="22"/>
        </w:rPr>
        <w:t>timely</w:t>
      </w:r>
      <w:r w:rsidR="00C94EC3">
        <w:rPr>
          <w:rFonts w:asciiTheme="minorHAnsi" w:hAnsiTheme="minorHAnsi" w:cstheme="minorHAnsi"/>
          <w:b/>
          <w:szCs w:val="22"/>
        </w:rPr>
        <w:t xml:space="preserve"> manner</w:t>
      </w:r>
      <w:r w:rsidR="006819F7" w:rsidRPr="006819F7">
        <w:rPr>
          <w:rFonts w:asciiTheme="minorHAnsi" w:hAnsiTheme="minorHAnsi" w:cstheme="minorHAnsi"/>
          <w:szCs w:val="22"/>
        </w:rPr>
        <w:t xml:space="preserve">. Due to the importance of compliance, the strict timelines and the potential penalties, inadequate response triggers escalation through Division Directors and up to Dr. </w:t>
      </w:r>
      <w:r w:rsidR="00D96AA2">
        <w:rPr>
          <w:rFonts w:asciiTheme="minorHAnsi" w:hAnsiTheme="minorHAnsi" w:cstheme="minorHAnsi"/>
          <w:szCs w:val="22"/>
        </w:rPr>
        <w:t xml:space="preserve">Daniel </w:t>
      </w:r>
      <w:r w:rsidR="006819F7" w:rsidRPr="006819F7">
        <w:rPr>
          <w:rFonts w:asciiTheme="minorHAnsi" w:hAnsiTheme="minorHAnsi" w:cstheme="minorHAnsi"/>
          <w:szCs w:val="22"/>
        </w:rPr>
        <w:t>Ford</w:t>
      </w:r>
      <w:r w:rsidR="00D96AA2">
        <w:rPr>
          <w:rFonts w:asciiTheme="minorHAnsi" w:hAnsiTheme="minorHAnsi" w:cstheme="minorHAnsi"/>
          <w:szCs w:val="22"/>
        </w:rPr>
        <w:t>, Vice Dean of Clinical Investigations</w:t>
      </w:r>
      <w:r w:rsidR="006819F7" w:rsidRPr="006819F7">
        <w:rPr>
          <w:rFonts w:asciiTheme="minorHAnsi" w:hAnsiTheme="minorHAnsi" w:cstheme="minorHAnsi"/>
          <w:szCs w:val="22"/>
        </w:rPr>
        <w:t>.</w:t>
      </w:r>
      <w:r w:rsidR="00651513">
        <w:rPr>
          <w:rFonts w:asciiTheme="minorHAnsi" w:hAnsiTheme="minorHAnsi" w:cstheme="minorHAnsi"/>
          <w:szCs w:val="22"/>
        </w:rPr>
        <w:t xml:space="preserve"> </w:t>
      </w:r>
    </w:p>
    <w:p w14:paraId="1AC364A1" w14:textId="7B490D5C" w:rsidR="00724C93" w:rsidRPr="006819F7" w:rsidRDefault="00724C93" w:rsidP="00651513">
      <w:pPr>
        <w:spacing w:before="0" w:beforeAutospacing="0" w:after="0" w:afterAutospacing="0"/>
        <w:rPr>
          <w:rFonts w:asciiTheme="minorHAnsi" w:hAnsiTheme="minorHAnsi" w:cstheme="minorHAnsi"/>
          <w:szCs w:val="22"/>
        </w:rPr>
      </w:pPr>
    </w:p>
    <w:p w14:paraId="54F82DE2" w14:textId="10F0EF3B" w:rsidR="006819F7" w:rsidRDefault="006819F7" w:rsidP="002B2E31">
      <w:pPr>
        <w:spacing w:before="0" w:beforeAutospacing="0" w:after="0" w:afterAutospacing="0"/>
        <w:ind w:left="720"/>
        <w:rPr>
          <w:rFonts w:asciiTheme="minorHAnsi" w:hAnsiTheme="minorHAnsi" w:cstheme="minorHAnsi"/>
          <w:szCs w:val="22"/>
        </w:rPr>
      </w:pPr>
      <w:r w:rsidRPr="006819F7">
        <w:rPr>
          <w:rFonts w:asciiTheme="minorHAnsi" w:hAnsiTheme="minorHAnsi" w:cstheme="minorHAnsi"/>
          <w:szCs w:val="22"/>
        </w:rPr>
        <w:t>Assistance is free to all JHU faculty. Direct services (i.e., entering results) are available for $50/hour.</w:t>
      </w:r>
    </w:p>
    <w:p w14:paraId="5005162F" w14:textId="77777777" w:rsidR="00724C93" w:rsidRPr="006819F7" w:rsidRDefault="00724C93" w:rsidP="002B2E31">
      <w:pPr>
        <w:spacing w:before="0" w:beforeAutospacing="0" w:after="0" w:afterAutospacing="0"/>
        <w:ind w:left="720"/>
        <w:rPr>
          <w:rFonts w:asciiTheme="minorHAnsi" w:hAnsiTheme="minorHAnsi" w:cstheme="minorHAnsi"/>
          <w:szCs w:val="22"/>
        </w:rPr>
      </w:pPr>
    </w:p>
    <w:p w14:paraId="6E30F62B" w14:textId="0908D45B" w:rsidR="00C049F9" w:rsidRDefault="000559E0" w:rsidP="002B2E31">
      <w:pPr>
        <w:spacing w:before="0" w:beforeAutospacing="0" w:after="0" w:afterAutospacing="0"/>
        <w:ind w:left="720"/>
        <w:rPr>
          <w:rFonts w:asciiTheme="minorHAnsi" w:hAnsiTheme="minorHAnsi" w:cstheme="minorHAnsi"/>
          <w:szCs w:val="22"/>
        </w:rPr>
      </w:pPr>
      <w:r>
        <w:rPr>
          <w:rFonts w:asciiTheme="minorHAnsi" w:hAnsiTheme="minorHAnsi" w:cstheme="minorHAnsi"/>
          <w:szCs w:val="22"/>
        </w:rPr>
        <w:t>JHU</w:t>
      </w:r>
      <w:r w:rsidR="006819F7" w:rsidRPr="006819F7">
        <w:rPr>
          <w:rFonts w:asciiTheme="minorHAnsi" w:hAnsiTheme="minorHAnsi" w:cstheme="minorHAnsi"/>
          <w:szCs w:val="22"/>
        </w:rPr>
        <w:t xml:space="preserve"> SOM ClinicalTrials.gov </w:t>
      </w:r>
      <w:r w:rsidR="00A96C9B">
        <w:rPr>
          <w:rFonts w:asciiTheme="minorHAnsi" w:hAnsiTheme="minorHAnsi" w:cstheme="minorHAnsi"/>
          <w:szCs w:val="22"/>
        </w:rPr>
        <w:t>Program office</w:t>
      </w:r>
      <w:r w:rsidR="006819F7" w:rsidRPr="006819F7">
        <w:rPr>
          <w:rFonts w:asciiTheme="minorHAnsi" w:hAnsiTheme="minorHAnsi" w:cstheme="minorHAnsi"/>
          <w:szCs w:val="22"/>
        </w:rPr>
        <w:t xml:space="preserve"> is based in the Johns Hopkins ICTR and led by Anthony Keyes, MBA, PMP, Program Manager, Clinical Research Projects</w:t>
      </w:r>
      <w:r w:rsidR="00A96C9B">
        <w:rPr>
          <w:rFonts w:asciiTheme="minorHAnsi" w:hAnsiTheme="minorHAnsi" w:cstheme="minorHAnsi"/>
          <w:szCs w:val="22"/>
        </w:rPr>
        <w:t xml:space="preserve"> with t</w:t>
      </w:r>
      <w:r w:rsidR="00035D51">
        <w:rPr>
          <w:rFonts w:asciiTheme="minorHAnsi" w:hAnsiTheme="minorHAnsi" w:cstheme="minorHAnsi"/>
          <w:szCs w:val="22"/>
        </w:rPr>
        <w:t>wo</w:t>
      </w:r>
      <w:r w:rsidR="00A96C9B">
        <w:rPr>
          <w:rFonts w:asciiTheme="minorHAnsi" w:hAnsiTheme="minorHAnsi" w:cstheme="minorHAnsi"/>
          <w:szCs w:val="22"/>
        </w:rPr>
        <w:t xml:space="preserve"> Clinical Research Compliance Specialists</w:t>
      </w:r>
      <w:r w:rsidR="00C049F9">
        <w:rPr>
          <w:rFonts w:asciiTheme="minorHAnsi" w:hAnsiTheme="minorHAnsi" w:cstheme="minorHAnsi"/>
          <w:szCs w:val="22"/>
        </w:rPr>
        <w:t>:</w:t>
      </w:r>
    </w:p>
    <w:p w14:paraId="6760BB71" w14:textId="0FE76106" w:rsidR="00C049F9" w:rsidRPr="00A96C9B" w:rsidRDefault="00C049F9" w:rsidP="002B2E31">
      <w:pPr>
        <w:pStyle w:val="ListParagraph"/>
        <w:numPr>
          <w:ilvl w:val="0"/>
          <w:numId w:val="5"/>
        </w:numPr>
        <w:spacing w:before="0" w:beforeAutospacing="0" w:after="0" w:afterAutospacing="0"/>
        <w:rPr>
          <w:rFonts w:asciiTheme="minorHAnsi" w:hAnsiTheme="minorHAnsi" w:cstheme="minorHAnsi"/>
          <w:szCs w:val="22"/>
        </w:rPr>
      </w:pPr>
      <w:r w:rsidRPr="00A96C9B">
        <w:rPr>
          <w:rFonts w:asciiTheme="minorHAnsi" w:hAnsiTheme="minorHAnsi" w:cstheme="minorHAnsi"/>
          <w:szCs w:val="22"/>
        </w:rPr>
        <w:t>Prince Nuamah</w:t>
      </w:r>
      <w:r w:rsidR="00A96C9B">
        <w:rPr>
          <w:rFonts w:asciiTheme="minorHAnsi" w:hAnsiTheme="minorHAnsi" w:cstheme="minorHAnsi"/>
          <w:szCs w:val="22"/>
        </w:rPr>
        <w:t xml:space="preserve"> – SOM/SON</w:t>
      </w:r>
      <w:r w:rsidR="00A948B2">
        <w:rPr>
          <w:rFonts w:asciiTheme="minorHAnsi" w:hAnsiTheme="minorHAnsi" w:cstheme="minorHAnsi"/>
          <w:szCs w:val="22"/>
        </w:rPr>
        <w:t xml:space="preserve"> and SKCCC</w:t>
      </w:r>
    </w:p>
    <w:p w14:paraId="7CE5DE26" w14:textId="28FBF4E0" w:rsidR="007A15A0" w:rsidRPr="00A96C9B" w:rsidRDefault="007A15A0" w:rsidP="002B2E31">
      <w:pPr>
        <w:pStyle w:val="ListParagraph"/>
        <w:numPr>
          <w:ilvl w:val="0"/>
          <w:numId w:val="5"/>
        </w:numPr>
        <w:spacing w:before="0" w:beforeAutospacing="0" w:after="0" w:afterAutospacing="0"/>
        <w:rPr>
          <w:rFonts w:asciiTheme="minorHAnsi" w:hAnsiTheme="minorHAnsi" w:cstheme="minorHAnsi"/>
          <w:szCs w:val="22"/>
        </w:rPr>
      </w:pPr>
      <w:r w:rsidRPr="00A96C9B">
        <w:rPr>
          <w:rFonts w:asciiTheme="minorHAnsi" w:hAnsiTheme="minorHAnsi" w:cstheme="minorHAnsi"/>
          <w:szCs w:val="22"/>
        </w:rPr>
        <w:t>Oswald Tetteh</w:t>
      </w:r>
      <w:r w:rsidR="00A96C9B">
        <w:rPr>
          <w:rFonts w:asciiTheme="minorHAnsi" w:hAnsiTheme="minorHAnsi" w:cstheme="minorHAnsi"/>
          <w:szCs w:val="22"/>
        </w:rPr>
        <w:t xml:space="preserve"> – SOM/SON</w:t>
      </w:r>
      <w:r w:rsidR="00A948B2">
        <w:rPr>
          <w:rFonts w:asciiTheme="minorHAnsi" w:hAnsiTheme="minorHAnsi" w:cstheme="minorHAnsi"/>
          <w:szCs w:val="22"/>
        </w:rPr>
        <w:t xml:space="preserve"> and SKCCC</w:t>
      </w:r>
    </w:p>
    <w:p w14:paraId="19885576" w14:textId="77777777" w:rsidR="002F7FAE" w:rsidRDefault="002F7FAE" w:rsidP="002B2E31">
      <w:pPr>
        <w:spacing w:before="0" w:beforeAutospacing="0" w:after="0" w:afterAutospacing="0"/>
        <w:ind w:left="720"/>
        <w:rPr>
          <w:rFonts w:asciiTheme="minorHAnsi" w:hAnsiTheme="minorHAnsi" w:cstheme="minorHAnsi"/>
          <w:szCs w:val="22"/>
        </w:rPr>
      </w:pPr>
    </w:p>
    <w:p w14:paraId="1E435ADF" w14:textId="77777777" w:rsidR="003A78F9" w:rsidRPr="003A78F9" w:rsidRDefault="00484485" w:rsidP="002B2E31">
      <w:pPr>
        <w:spacing w:before="0" w:beforeAutospacing="0" w:after="0" w:afterAutospacing="0"/>
        <w:outlineLvl w:val="0"/>
        <w:rPr>
          <w:rFonts w:asciiTheme="majorHAnsi" w:hAnsiTheme="majorHAnsi" w:cstheme="majorHAnsi"/>
          <w:b/>
          <w:szCs w:val="22"/>
        </w:rPr>
      </w:pPr>
      <w:r>
        <w:rPr>
          <w:rFonts w:asciiTheme="majorHAnsi" w:hAnsiTheme="majorHAnsi" w:cstheme="majorHAnsi"/>
          <w:b/>
          <w:szCs w:val="22"/>
        </w:rPr>
        <w:t>CURRENT PERFORMANCE</w:t>
      </w:r>
    </w:p>
    <w:p w14:paraId="1901F009" w14:textId="297F8031" w:rsidR="006819F7" w:rsidRDefault="001C703C" w:rsidP="002B2E31">
      <w:pPr>
        <w:spacing w:before="0" w:beforeAutospacing="0" w:after="0" w:afterAutospacing="0"/>
        <w:ind w:left="720"/>
        <w:rPr>
          <w:rFonts w:asciiTheme="minorHAnsi" w:hAnsiTheme="minorHAnsi" w:cstheme="minorHAnsi"/>
          <w:szCs w:val="22"/>
        </w:rPr>
      </w:pPr>
      <w:r>
        <w:rPr>
          <w:rFonts w:asciiTheme="minorHAnsi" w:hAnsiTheme="minorHAnsi" w:cstheme="minorHAnsi"/>
          <w:szCs w:val="22"/>
        </w:rPr>
        <w:t xml:space="preserve">The </w:t>
      </w:r>
      <w:r w:rsidR="006819F7" w:rsidRPr="00484485">
        <w:rPr>
          <w:rFonts w:asciiTheme="minorHAnsi" w:hAnsiTheme="minorHAnsi" w:cstheme="minorHAnsi"/>
          <w:szCs w:val="22"/>
        </w:rPr>
        <w:t>SOM</w:t>
      </w:r>
      <w:r>
        <w:rPr>
          <w:rFonts w:asciiTheme="minorHAnsi" w:hAnsiTheme="minorHAnsi" w:cstheme="minorHAnsi"/>
          <w:szCs w:val="22"/>
        </w:rPr>
        <w:t>/SON</w:t>
      </w:r>
      <w:r w:rsidR="006819F7" w:rsidRPr="00484485">
        <w:rPr>
          <w:rFonts w:asciiTheme="minorHAnsi" w:hAnsiTheme="minorHAnsi" w:cstheme="minorHAnsi"/>
          <w:szCs w:val="22"/>
        </w:rPr>
        <w:t xml:space="preserve"> </w:t>
      </w:r>
      <w:r>
        <w:rPr>
          <w:rFonts w:asciiTheme="minorHAnsi" w:hAnsiTheme="minorHAnsi" w:cstheme="minorHAnsi"/>
          <w:szCs w:val="22"/>
        </w:rPr>
        <w:t>account</w:t>
      </w:r>
      <w:r w:rsidR="005C6564">
        <w:rPr>
          <w:rFonts w:asciiTheme="minorHAnsi" w:hAnsiTheme="minorHAnsi" w:cstheme="minorHAnsi"/>
          <w:szCs w:val="22"/>
        </w:rPr>
        <w:t xml:space="preserve"> </w:t>
      </w:r>
      <w:r w:rsidR="00E94599">
        <w:rPr>
          <w:rFonts w:asciiTheme="minorHAnsi" w:hAnsiTheme="minorHAnsi" w:cstheme="minorHAnsi"/>
          <w:szCs w:val="22"/>
        </w:rPr>
        <w:t>currently</w:t>
      </w:r>
      <w:r>
        <w:rPr>
          <w:rFonts w:asciiTheme="minorHAnsi" w:hAnsiTheme="minorHAnsi" w:cstheme="minorHAnsi"/>
          <w:szCs w:val="22"/>
        </w:rPr>
        <w:t xml:space="preserve"> has</w:t>
      </w:r>
      <w:r w:rsidR="00E94599">
        <w:rPr>
          <w:rFonts w:asciiTheme="minorHAnsi" w:hAnsiTheme="minorHAnsi" w:cstheme="minorHAnsi"/>
          <w:szCs w:val="22"/>
        </w:rPr>
        <w:t xml:space="preserve"> </w:t>
      </w:r>
      <w:r w:rsidR="00BD66E9">
        <w:rPr>
          <w:rFonts w:asciiTheme="minorHAnsi" w:hAnsiTheme="minorHAnsi" w:cstheme="minorHAnsi"/>
          <w:szCs w:val="22"/>
        </w:rPr>
        <w:t xml:space="preserve">over </w:t>
      </w:r>
      <w:r w:rsidR="00D611BF" w:rsidRPr="00D15A8E">
        <w:rPr>
          <w:rFonts w:asciiTheme="minorHAnsi" w:hAnsiTheme="minorHAnsi" w:cstheme="minorHAnsi"/>
          <w:szCs w:val="22"/>
        </w:rPr>
        <w:t>13</w:t>
      </w:r>
      <w:r w:rsidR="00BD66E9" w:rsidRPr="00D15A8E">
        <w:rPr>
          <w:rFonts w:asciiTheme="minorHAnsi" w:hAnsiTheme="minorHAnsi" w:cstheme="minorHAnsi"/>
          <w:szCs w:val="22"/>
        </w:rPr>
        <w:t>00</w:t>
      </w:r>
      <w:r w:rsidR="00242A19" w:rsidRPr="00D15A8E">
        <w:rPr>
          <w:rFonts w:asciiTheme="minorHAnsi" w:hAnsiTheme="minorHAnsi" w:cstheme="minorHAnsi"/>
          <w:szCs w:val="22"/>
        </w:rPr>
        <w:t xml:space="preserve"> records on </w:t>
      </w:r>
      <w:r w:rsidR="006819F7" w:rsidRPr="00D15A8E">
        <w:rPr>
          <w:rFonts w:asciiTheme="minorHAnsi" w:hAnsiTheme="minorHAnsi" w:cstheme="minorHAnsi"/>
          <w:szCs w:val="22"/>
        </w:rPr>
        <w:t>ClinicalTrials.gov</w:t>
      </w:r>
      <w:r w:rsidR="00A96C9B" w:rsidRPr="00D15A8E">
        <w:rPr>
          <w:rFonts w:asciiTheme="minorHAnsi" w:hAnsiTheme="minorHAnsi" w:cstheme="minorHAnsi"/>
          <w:szCs w:val="22"/>
        </w:rPr>
        <w:t xml:space="preserve"> and over 1000 individual users with 5-10 new users added every month.</w:t>
      </w:r>
      <w:r w:rsidR="00D76FA1" w:rsidRPr="00D15A8E">
        <w:rPr>
          <w:rFonts w:asciiTheme="minorHAnsi" w:hAnsiTheme="minorHAnsi" w:cstheme="minorHAnsi"/>
          <w:szCs w:val="22"/>
        </w:rPr>
        <w:t xml:space="preserve"> </w:t>
      </w:r>
      <w:r w:rsidR="00BD79E9" w:rsidRPr="00D15A8E">
        <w:rPr>
          <w:rFonts w:asciiTheme="minorHAnsi" w:hAnsiTheme="minorHAnsi" w:cstheme="minorHAnsi"/>
          <w:szCs w:val="22"/>
        </w:rPr>
        <w:t>In the last year Program staff have</w:t>
      </w:r>
      <w:r w:rsidR="00BD66E9" w:rsidRPr="00D15A8E">
        <w:rPr>
          <w:rFonts w:asciiTheme="minorHAnsi" w:hAnsiTheme="minorHAnsi" w:cstheme="minorHAnsi"/>
          <w:szCs w:val="22"/>
        </w:rPr>
        <w:t xml:space="preserve"> reduced </w:t>
      </w:r>
      <w:r w:rsidR="00335DCD" w:rsidRPr="00D15A8E">
        <w:rPr>
          <w:rFonts w:asciiTheme="minorHAnsi" w:hAnsiTheme="minorHAnsi" w:cstheme="minorHAnsi"/>
          <w:szCs w:val="22"/>
        </w:rPr>
        <w:t>the number of Problem Records f</w:t>
      </w:r>
      <w:r w:rsidR="00BD66E9" w:rsidRPr="00D15A8E">
        <w:rPr>
          <w:rFonts w:asciiTheme="minorHAnsi" w:hAnsiTheme="minorHAnsi" w:cstheme="minorHAnsi"/>
          <w:szCs w:val="22"/>
        </w:rPr>
        <w:t>r</w:t>
      </w:r>
      <w:r w:rsidR="00335DCD" w:rsidRPr="00D15A8E">
        <w:rPr>
          <w:rFonts w:asciiTheme="minorHAnsi" w:hAnsiTheme="minorHAnsi" w:cstheme="minorHAnsi"/>
          <w:szCs w:val="22"/>
        </w:rPr>
        <w:t>o</w:t>
      </w:r>
      <w:r w:rsidR="00D611BF" w:rsidRPr="00D15A8E">
        <w:rPr>
          <w:rFonts w:asciiTheme="minorHAnsi" w:hAnsiTheme="minorHAnsi" w:cstheme="minorHAnsi"/>
          <w:szCs w:val="22"/>
        </w:rPr>
        <w:t>m 59</w:t>
      </w:r>
      <w:r w:rsidR="00BD66E9" w:rsidRPr="00D15A8E">
        <w:rPr>
          <w:rFonts w:asciiTheme="minorHAnsi" w:hAnsiTheme="minorHAnsi" w:cstheme="minorHAnsi"/>
          <w:szCs w:val="22"/>
        </w:rPr>
        <w:t>/1</w:t>
      </w:r>
      <w:r w:rsidR="00D611BF" w:rsidRPr="00D15A8E">
        <w:rPr>
          <w:rFonts w:asciiTheme="minorHAnsi" w:hAnsiTheme="minorHAnsi" w:cstheme="minorHAnsi"/>
          <w:szCs w:val="22"/>
        </w:rPr>
        <w:t>172 (5%) to 57</w:t>
      </w:r>
      <w:r w:rsidR="00BD66E9" w:rsidRPr="00D15A8E">
        <w:rPr>
          <w:rFonts w:asciiTheme="minorHAnsi" w:hAnsiTheme="minorHAnsi" w:cstheme="minorHAnsi"/>
          <w:szCs w:val="22"/>
        </w:rPr>
        <w:t>/1</w:t>
      </w:r>
      <w:r w:rsidR="00D611BF" w:rsidRPr="00D15A8E">
        <w:rPr>
          <w:rFonts w:asciiTheme="minorHAnsi" w:hAnsiTheme="minorHAnsi" w:cstheme="minorHAnsi"/>
          <w:szCs w:val="22"/>
        </w:rPr>
        <w:t>305 (4</w:t>
      </w:r>
      <w:r w:rsidR="00BD66E9" w:rsidRPr="00D15A8E">
        <w:rPr>
          <w:rFonts w:asciiTheme="minorHAnsi" w:hAnsiTheme="minorHAnsi" w:cstheme="minorHAnsi"/>
          <w:szCs w:val="22"/>
        </w:rPr>
        <w:t xml:space="preserve">%) and have resolved </w:t>
      </w:r>
      <w:r w:rsidR="00D76FA1" w:rsidRPr="00D15A8E">
        <w:rPr>
          <w:rFonts w:asciiTheme="minorHAnsi" w:hAnsiTheme="minorHAnsi" w:cstheme="minorHAnsi"/>
          <w:szCs w:val="22"/>
        </w:rPr>
        <w:t xml:space="preserve">over 400 </w:t>
      </w:r>
      <w:r w:rsidR="006C4221" w:rsidRPr="00D15A8E">
        <w:rPr>
          <w:rFonts w:asciiTheme="minorHAnsi" w:hAnsiTheme="minorHAnsi" w:cstheme="minorHAnsi"/>
          <w:szCs w:val="22"/>
        </w:rPr>
        <w:t xml:space="preserve">records with </w:t>
      </w:r>
      <w:r w:rsidR="00D76FA1" w:rsidRPr="00D15A8E">
        <w:rPr>
          <w:rFonts w:asciiTheme="minorHAnsi" w:hAnsiTheme="minorHAnsi" w:cstheme="minorHAnsi"/>
          <w:szCs w:val="22"/>
        </w:rPr>
        <w:t>problems</w:t>
      </w:r>
      <w:r w:rsidR="006819F7" w:rsidRPr="00D15A8E">
        <w:rPr>
          <w:rFonts w:asciiTheme="minorHAnsi" w:hAnsiTheme="minorHAnsi" w:cstheme="minorHAnsi"/>
          <w:szCs w:val="22"/>
        </w:rPr>
        <w:t>.</w:t>
      </w:r>
      <w:r w:rsidR="00484485" w:rsidRPr="00D15A8E">
        <w:rPr>
          <w:rFonts w:asciiTheme="minorHAnsi" w:hAnsiTheme="minorHAnsi" w:cstheme="minorHAnsi"/>
          <w:szCs w:val="22"/>
        </w:rPr>
        <w:t xml:space="preserve"> </w:t>
      </w:r>
      <w:r w:rsidR="001D4704" w:rsidRPr="00D15A8E">
        <w:rPr>
          <w:rFonts w:asciiTheme="minorHAnsi" w:hAnsiTheme="minorHAnsi" w:cstheme="minorHAnsi"/>
          <w:szCs w:val="22"/>
        </w:rPr>
        <w:t xml:space="preserve">Metrics for these problems are monitored daily to work towards their resolution. </w:t>
      </w:r>
      <w:r w:rsidR="006819F7" w:rsidRPr="00D15A8E">
        <w:rPr>
          <w:rFonts w:asciiTheme="minorHAnsi" w:hAnsiTheme="minorHAnsi" w:cstheme="minorHAnsi"/>
          <w:szCs w:val="22"/>
        </w:rPr>
        <w:t xml:space="preserve">Every </w:t>
      </w:r>
      <w:r w:rsidR="00D15A8E" w:rsidRPr="00D15A8E">
        <w:rPr>
          <w:rFonts w:asciiTheme="minorHAnsi" w:hAnsiTheme="minorHAnsi" w:cstheme="minorHAnsi"/>
          <w:szCs w:val="22"/>
        </w:rPr>
        <w:t xml:space="preserve">new </w:t>
      </w:r>
      <w:r w:rsidR="006819F7" w:rsidRPr="00D15A8E">
        <w:rPr>
          <w:rFonts w:asciiTheme="minorHAnsi" w:hAnsiTheme="minorHAnsi" w:cstheme="minorHAnsi"/>
          <w:szCs w:val="22"/>
        </w:rPr>
        <w:t xml:space="preserve">record </w:t>
      </w:r>
      <w:r w:rsidR="00D15A8E" w:rsidRPr="00D15A8E">
        <w:rPr>
          <w:rFonts w:asciiTheme="minorHAnsi" w:hAnsiTheme="minorHAnsi" w:cstheme="minorHAnsi"/>
          <w:szCs w:val="22"/>
        </w:rPr>
        <w:t>submitt</w:t>
      </w:r>
      <w:r w:rsidR="006819F7" w:rsidRPr="00D15A8E">
        <w:rPr>
          <w:rFonts w:asciiTheme="minorHAnsi" w:hAnsiTheme="minorHAnsi" w:cstheme="minorHAnsi"/>
          <w:szCs w:val="22"/>
        </w:rPr>
        <w:t>ed</w:t>
      </w:r>
      <w:r w:rsidR="00BD66E9" w:rsidRPr="00D15A8E">
        <w:rPr>
          <w:rFonts w:asciiTheme="minorHAnsi" w:hAnsiTheme="minorHAnsi" w:cstheme="minorHAnsi"/>
          <w:szCs w:val="22"/>
        </w:rPr>
        <w:t xml:space="preserve"> by users</w:t>
      </w:r>
      <w:r w:rsidR="006819F7" w:rsidRPr="00D15A8E">
        <w:rPr>
          <w:rFonts w:asciiTheme="minorHAnsi" w:hAnsiTheme="minorHAnsi" w:cstheme="minorHAnsi"/>
          <w:szCs w:val="22"/>
        </w:rPr>
        <w:t xml:space="preserve"> is carefully reviewed by our </w:t>
      </w:r>
      <w:r w:rsidR="00A96C9B" w:rsidRPr="00D15A8E">
        <w:rPr>
          <w:rFonts w:asciiTheme="minorHAnsi" w:hAnsiTheme="minorHAnsi" w:cstheme="minorHAnsi"/>
          <w:szCs w:val="22"/>
        </w:rPr>
        <w:t>Program</w:t>
      </w:r>
      <w:r w:rsidR="006819F7" w:rsidRPr="00D15A8E">
        <w:rPr>
          <w:rFonts w:asciiTheme="minorHAnsi" w:hAnsiTheme="minorHAnsi" w:cstheme="minorHAnsi"/>
          <w:szCs w:val="22"/>
        </w:rPr>
        <w:t xml:space="preserve"> using a Checklist tool we developed to reduce the number of comments received from ClinicalTrials.gov staff.</w:t>
      </w:r>
      <w:r w:rsidR="006819F7" w:rsidRPr="00484485">
        <w:rPr>
          <w:rFonts w:asciiTheme="minorHAnsi" w:hAnsiTheme="minorHAnsi" w:cstheme="minorHAnsi"/>
          <w:szCs w:val="22"/>
        </w:rPr>
        <w:t xml:space="preserve"> </w:t>
      </w:r>
    </w:p>
    <w:p w14:paraId="7A6246A2" w14:textId="77777777" w:rsidR="002B2E31" w:rsidRDefault="002B2E31" w:rsidP="002B2E31">
      <w:pPr>
        <w:spacing w:before="0" w:beforeAutospacing="0" w:after="0" w:afterAutospacing="0"/>
        <w:ind w:left="720"/>
        <w:rPr>
          <w:rFonts w:asciiTheme="minorHAnsi" w:hAnsiTheme="minorHAnsi" w:cstheme="minorHAnsi"/>
          <w:szCs w:val="22"/>
        </w:rPr>
      </w:pPr>
    </w:p>
    <w:tbl>
      <w:tblPr>
        <w:tblStyle w:val="TableGrid"/>
        <w:tblW w:w="0" w:type="auto"/>
        <w:tblInd w:w="720" w:type="dxa"/>
        <w:tblLook w:val="04A0" w:firstRow="1" w:lastRow="0" w:firstColumn="1" w:lastColumn="0" w:noHBand="0" w:noVBand="1"/>
      </w:tblPr>
      <w:tblGrid>
        <w:gridCol w:w="2905"/>
        <w:gridCol w:w="2873"/>
        <w:gridCol w:w="2852"/>
      </w:tblGrid>
      <w:tr w:rsidR="00B13341" w14:paraId="37D4A01F" w14:textId="77777777" w:rsidTr="00D611BF">
        <w:tc>
          <w:tcPr>
            <w:tcW w:w="3116" w:type="dxa"/>
          </w:tcPr>
          <w:p w14:paraId="273CABFD" w14:textId="77777777" w:rsidR="00B13341" w:rsidRPr="00DF6FCA" w:rsidRDefault="00EA3435" w:rsidP="00242A19">
            <w:pPr>
              <w:rPr>
                <w:rFonts w:asciiTheme="minorHAnsi" w:hAnsiTheme="minorHAnsi" w:cstheme="minorHAnsi"/>
                <w:b/>
                <w:szCs w:val="22"/>
              </w:rPr>
            </w:pPr>
            <w:r w:rsidRPr="00DF6FCA">
              <w:rPr>
                <w:rFonts w:asciiTheme="minorHAnsi" w:hAnsiTheme="minorHAnsi" w:cstheme="minorHAnsi"/>
                <w:b/>
                <w:szCs w:val="22"/>
              </w:rPr>
              <w:t>JHU SOM/SON</w:t>
            </w:r>
          </w:p>
        </w:tc>
        <w:tc>
          <w:tcPr>
            <w:tcW w:w="3117" w:type="dxa"/>
            <w:shd w:val="clear" w:color="auto" w:fill="auto"/>
          </w:tcPr>
          <w:p w14:paraId="5D9EDB8E" w14:textId="36474FED" w:rsidR="00B13341" w:rsidRPr="00035D51" w:rsidRDefault="00B13341" w:rsidP="00242A19">
            <w:pPr>
              <w:rPr>
                <w:rFonts w:asciiTheme="minorHAnsi" w:hAnsiTheme="minorHAnsi" w:cstheme="minorHAnsi"/>
                <w:b/>
                <w:szCs w:val="22"/>
                <w:highlight w:val="yellow"/>
              </w:rPr>
            </w:pPr>
            <w:r w:rsidRPr="00D611BF">
              <w:rPr>
                <w:rFonts w:asciiTheme="minorHAnsi" w:hAnsiTheme="minorHAnsi" w:cstheme="minorHAnsi"/>
                <w:b/>
                <w:szCs w:val="22"/>
              </w:rPr>
              <w:t>August 20</w:t>
            </w:r>
            <w:r w:rsidR="00BA55CA" w:rsidRPr="00D611BF">
              <w:rPr>
                <w:rFonts w:asciiTheme="minorHAnsi" w:hAnsiTheme="minorHAnsi" w:cstheme="minorHAnsi"/>
                <w:b/>
                <w:szCs w:val="22"/>
              </w:rPr>
              <w:t>19</w:t>
            </w:r>
          </w:p>
        </w:tc>
        <w:tc>
          <w:tcPr>
            <w:tcW w:w="3117" w:type="dxa"/>
          </w:tcPr>
          <w:p w14:paraId="3259BDD7" w14:textId="17FC9BE9" w:rsidR="00B13341" w:rsidRPr="00035D51" w:rsidRDefault="00B13341" w:rsidP="00242A19">
            <w:pPr>
              <w:rPr>
                <w:rFonts w:asciiTheme="minorHAnsi" w:hAnsiTheme="minorHAnsi" w:cstheme="minorHAnsi"/>
                <w:b/>
                <w:szCs w:val="22"/>
                <w:highlight w:val="yellow"/>
              </w:rPr>
            </w:pPr>
            <w:r w:rsidRPr="00D611BF">
              <w:rPr>
                <w:rFonts w:asciiTheme="minorHAnsi" w:hAnsiTheme="minorHAnsi" w:cstheme="minorHAnsi"/>
                <w:b/>
                <w:szCs w:val="22"/>
              </w:rPr>
              <w:t>July 20</w:t>
            </w:r>
            <w:r w:rsidR="00BA55CA" w:rsidRPr="00D611BF">
              <w:rPr>
                <w:rFonts w:asciiTheme="minorHAnsi" w:hAnsiTheme="minorHAnsi" w:cstheme="minorHAnsi"/>
                <w:b/>
                <w:szCs w:val="22"/>
              </w:rPr>
              <w:t>20</w:t>
            </w:r>
          </w:p>
        </w:tc>
      </w:tr>
      <w:tr w:rsidR="00B13341" w14:paraId="0E8DFE0B" w14:textId="77777777" w:rsidTr="00B13341">
        <w:tc>
          <w:tcPr>
            <w:tcW w:w="3116" w:type="dxa"/>
          </w:tcPr>
          <w:p w14:paraId="730F95E2" w14:textId="77777777" w:rsidR="00B13341" w:rsidRDefault="00B13341" w:rsidP="00242A19">
            <w:pPr>
              <w:rPr>
                <w:rFonts w:asciiTheme="minorHAnsi" w:hAnsiTheme="minorHAnsi" w:cstheme="minorHAnsi"/>
                <w:szCs w:val="22"/>
              </w:rPr>
            </w:pPr>
            <w:r>
              <w:rPr>
                <w:rFonts w:asciiTheme="minorHAnsi" w:hAnsiTheme="minorHAnsi" w:cstheme="minorHAnsi"/>
                <w:szCs w:val="22"/>
              </w:rPr>
              <w:t>Total Number of records</w:t>
            </w:r>
          </w:p>
        </w:tc>
        <w:tc>
          <w:tcPr>
            <w:tcW w:w="3117" w:type="dxa"/>
          </w:tcPr>
          <w:p w14:paraId="37F5EA06" w14:textId="44308EF8" w:rsidR="00B13341" w:rsidRDefault="00D611BF" w:rsidP="00242A19">
            <w:pPr>
              <w:rPr>
                <w:rFonts w:asciiTheme="minorHAnsi" w:hAnsiTheme="minorHAnsi" w:cstheme="minorHAnsi"/>
                <w:szCs w:val="22"/>
              </w:rPr>
            </w:pPr>
            <w:r>
              <w:rPr>
                <w:rFonts w:asciiTheme="minorHAnsi" w:hAnsiTheme="minorHAnsi" w:cstheme="minorHAnsi"/>
                <w:szCs w:val="22"/>
              </w:rPr>
              <w:t>1172</w:t>
            </w:r>
          </w:p>
        </w:tc>
        <w:tc>
          <w:tcPr>
            <w:tcW w:w="3117" w:type="dxa"/>
          </w:tcPr>
          <w:p w14:paraId="701FC9CF" w14:textId="67A3915E" w:rsidR="00B13341" w:rsidRDefault="00D611BF" w:rsidP="00242A19">
            <w:pPr>
              <w:rPr>
                <w:rFonts w:asciiTheme="minorHAnsi" w:hAnsiTheme="minorHAnsi" w:cstheme="minorHAnsi"/>
                <w:szCs w:val="22"/>
              </w:rPr>
            </w:pPr>
            <w:r>
              <w:rPr>
                <w:rFonts w:asciiTheme="minorHAnsi" w:hAnsiTheme="minorHAnsi" w:cstheme="minorHAnsi"/>
                <w:szCs w:val="22"/>
              </w:rPr>
              <w:t>1305</w:t>
            </w:r>
          </w:p>
        </w:tc>
      </w:tr>
      <w:tr w:rsidR="00B13341" w14:paraId="11CDCE0E" w14:textId="77777777" w:rsidTr="00B13341">
        <w:tc>
          <w:tcPr>
            <w:tcW w:w="3116" w:type="dxa"/>
          </w:tcPr>
          <w:p w14:paraId="78579893" w14:textId="77777777" w:rsidR="00B13341" w:rsidRDefault="00B13341" w:rsidP="00242A19">
            <w:pPr>
              <w:rPr>
                <w:rFonts w:asciiTheme="minorHAnsi" w:hAnsiTheme="minorHAnsi" w:cstheme="minorHAnsi"/>
                <w:szCs w:val="22"/>
              </w:rPr>
            </w:pPr>
            <w:r>
              <w:rPr>
                <w:rFonts w:asciiTheme="minorHAnsi" w:hAnsiTheme="minorHAnsi" w:cstheme="minorHAnsi"/>
                <w:szCs w:val="22"/>
              </w:rPr>
              <w:t>Problem Records</w:t>
            </w:r>
          </w:p>
        </w:tc>
        <w:tc>
          <w:tcPr>
            <w:tcW w:w="3117" w:type="dxa"/>
          </w:tcPr>
          <w:p w14:paraId="53854287" w14:textId="45925802" w:rsidR="00B13341" w:rsidRDefault="00D611BF" w:rsidP="00242A19">
            <w:pPr>
              <w:rPr>
                <w:rFonts w:asciiTheme="minorHAnsi" w:hAnsiTheme="minorHAnsi" w:cstheme="minorHAnsi"/>
                <w:szCs w:val="22"/>
              </w:rPr>
            </w:pPr>
            <w:r>
              <w:rPr>
                <w:rFonts w:asciiTheme="minorHAnsi" w:hAnsiTheme="minorHAnsi" w:cstheme="minorHAnsi"/>
                <w:szCs w:val="22"/>
              </w:rPr>
              <w:t>59</w:t>
            </w:r>
          </w:p>
        </w:tc>
        <w:tc>
          <w:tcPr>
            <w:tcW w:w="3117" w:type="dxa"/>
          </w:tcPr>
          <w:p w14:paraId="3A560A16" w14:textId="25A84F09" w:rsidR="00B13341" w:rsidRDefault="00D611BF" w:rsidP="00242A19">
            <w:pPr>
              <w:rPr>
                <w:rFonts w:asciiTheme="minorHAnsi" w:hAnsiTheme="minorHAnsi" w:cstheme="minorHAnsi"/>
                <w:szCs w:val="22"/>
              </w:rPr>
            </w:pPr>
            <w:r>
              <w:rPr>
                <w:rFonts w:asciiTheme="minorHAnsi" w:hAnsiTheme="minorHAnsi" w:cstheme="minorHAnsi"/>
                <w:szCs w:val="22"/>
              </w:rPr>
              <w:t>57</w:t>
            </w:r>
          </w:p>
        </w:tc>
      </w:tr>
      <w:tr w:rsidR="00B13341" w14:paraId="7800FA37" w14:textId="77777777" w:rsidTr="00B13341">
        <w:tc>
          <w:tcPr>
            <w:tcW w:w="3116" w:type="dxa"/>
          </w:tcPr>
          <w:p w14:paraId="1F669D52" w14:textId="77777777" w:rsidR="00B13341" w:rsidRDefault="00B13341" w:rsidP="00242A19">
            <w:pPr>
              <w:rPr>
                <w:rFonts w:asciiTheme="minorHAnsi" w:hAnsiTheme="minorHAnsi" w:cstheme="minorHAnsi"/>
                <w:szCs w:val="22"/>
              </w:rPr>
            </w:pPr>
            <w:r>
              <w:rPr>
                <w:rFonts w:asciiTheme="minorHAnsi" w:hAnsiTheme="minorHAnsi" w:cstheme="minorHAnsi"/>
                <w:szCs w:val="22"/>
              </w:rPr>
              <w:t>Late Results</w:t>
            </w:r>
          </w:p>
        </w:tc>
        <w:tc>
          <w:tcPr>
            <w:tcW w:w="3117" w:type="dxa"/>
          </w:tcPr>
          <w:p w14:paraId="3EAE090A" w14:textId="21AC6B32" w:rsidR="00B13341" w:rsidRDefault="00D611BF" w:rsidP="00242A19">
            <w:pPr>
              <w:rPr>
                <w:rFonts w:asciiTheme="minorHAnsi" w:hAnsiTheme="minorHAnsi" w:cstheme="minorHAnsi"/>
                <w:szCs w:val="22"/>
              </w:rPr>
            </w:pPr>
            <w:r>
              <w:rPr>
                <w:rFonts w:asciiTheme="minorHAnsi" w:hAnsiTheme="minorHAnsi" w:cstheme="minorHAnsi"/>
                <w:szCs w:val="22"/>
              </w:rPr>
              <w:t>3</w:t>
            </w:r>
          </w:p>
        </w:tc>
        <w:tc>
          <w:tcPr>
            <w:tcW w:w="3117" w:type="dxa"/>
          </w:tcPr>
          <w:p w14:paraId="359D8B97" w14:textId="5FA990ED" w:rsidR="00B13341" w:rsidRDefault="00D611BF" w:rsidP="00242A19">
            <w:pPr>
              <w:rPr>
                <w:rFonts w:asciiTheme="minorHAnsi" w:hAnsiTheme="minorHAnsi" w:cstheme="minorHAnsi"/>
                <w:szCs w:val="22"/>
              </w:rPr>
            </w:pPr>
            <w:r>
              <w:rPr>
                <w:rFonts w:asciiTheme="minorHAnsi" w:hAnsiTheme="minorHAnsi" w:cstheme="minorHAnsi"/>
                <w:szCs w:val="22"/>
              </w:rPr>
              <w:t>0</w:t>
            </w:r>
          </w:p>
        </w:tc>
      </w:tr>
    </w:tbl>
    <w:p w14:paraId="588C126E" w14:textId="77777777" w:rsidR="002B2E31" w:rsidRDefault="002B2E31" w:rsidP="006819F7">
      <w:pPr>
        <w:ind w:left="720"/>
        <w:rPr>
          <w:rFonts w:asciiTheme="minorHAnsi" w:hAnsiTheme="minorHAnsi" w:cstheme="minorHAnsi"/>
          <w:szCs w:val="22"/>
        </w:rPr>
      </w:pPr>
    </w:p>
    <w:p w14:paraId="10ABE8F2" w14:textId="77777777" w:rsidR="002B2E31" w:rsidRDefault="002B2E31" w:rsidP="006819F7">
      <w:pPr>
        <w:ind w:left="720"/>
        <w:rPr>
          <w:rFonts w:asciiTheme="minorHAnsi" w:hAnsiTheme="minorHAnsi" w:cstheme="minorHAnsi"/>
          <w:szCs w:val="22"/>
        </w:rPr>
      </w:pPr>
    </w:p>
    <w:p w14:paraId="2E143D5E" w14:textId="77777777" w:rsidR="002B2E31" w:rsidRDefault="002B2E31" w:rsidP="006819F7">
      <w:pPr>
        <w:ind w:left="720"/>
        <w:rPr>
          <w:rFonts w:asciiTheme="minorHAnsi" w:hAnsiTheme="minorHAnsi" w:cstheme="minorHAnsi"/>
          <w:szCs w:val="22"/>
        </w:rPr>
      </w:pPr>
    </w:p>
    <w:p w14:paraId="5983147E" w14:textId="5EAAC03F" w:rsidR="006819F7" w:rsidRPr="002B2E31" w:rsidRDefault="00BD79E9" w:rsidP="006819F7">
      <w:pPr>
        <w:ind w:left="720"/>
        <w:rPr>
          <w:rFonts w:asciiTheme="minorHAnsi" w:hAnsiTheme="minorHAnsi" w:cstheme="minorHAnsi"/>
          <w:szCs w:val="22"/>
        </w:rPr>
      </w:pPr>
      <w:r w:rsidRPr="002B2E31">
        <w:rPr>
          <w:rFonts w:asciiTheme="minorHAnsi" w:hAnsiTheme="minorHAnsi" w:cstheme="minorHAnsi"/>
          <w:szCs w:val="22"/>
        </w:rPr>
        <w:t xml:space="preserve">The SKCCC account currently has </w:t>
      </w:r>
      <w:r w:rsidR="005459F9">
        <w:rPr>
          <w:rFonts w:asciiTheme="minorHAnsi" w:hAnsiTheme="minorHAnsi" w:cstheme="minorHAnsi"/>
          <w:szCs w:val="22"/>
        </w:rPr>
        <w:t>495</w:t>
      </w:r>
      <w:r w:rsidR="00CB29B6" w:rsidRPr="002B2E31">
        <w:rPr>
          <w:rFonts w:asciiTheme="minorHAnsi" w:hAnsiTheme="minorHAnsi" w:cstheme="minorHAnsi"/>
          <w:szCs w:val="22"/>
        </w:rPr>
        <w:t xml:space="preserve"> </w:t>
      </w:r>
      <w:r w:rsidR="00887930">
        <w:rPr>
          <w:rFonts w:asciiTheme="minorHAnsi" w:hAnsiTheme="minorHAnsi" w:cstheme="minorHAnsi"/>
          <w:szCs w:val="22"/>
        </w:rPr>
        <w:t xml:space="preserve">records. </w:t>
      </w:r>
      <w:r w:rsidR="005459F9">
        <w:rPr>
          <w:rFonts w:asciiTheme="minorHAnsi" w:hAnsiTheme="minorHAnsi" w:cstheme="minorHAnsi"/>
          <w:szCs w:val="22"/>
        </w:rPr>
        <w:t>In September 2019</w:t>
      </w:r>
      <w:r w:rsidR="002D290B">
        <w:rPr>
          <w:rFonts w:asciiTheme="minorHAnsi" w:hAnsiTheme="minorHAnsi" w:cstheme="minorHAnsi"/>
          <w:szCs w:val="22"/>
        </w:rPr>
        <w:t xml:space="preserve"> the PRS Administrators for SOM/SON took over SKCCC</w:t>
      </w:r>
      <w:r w:rsidR="007A6E5E">
        <w:rPr>
          <w:rFonts w:asciiTheme="minorHAnsi" w:hAnsiTheme="minorHAnsi" w:cstheme="minorHAnsi"/>
          <w:szCs w:val="22"/>
        </w:rPr>
        <w:t>.</w:t>
      </w:r>
      <w:r w:rsidR="006819F7" w:rsidRPr="002B2E31">
        <w:rPr>
          <w:rFonts w:asciiTheme="minorHAnsi" w:hAnsiTheme="minorHAnsi" w:cstheme="minorHAnsi"/>
          <w:szCs w:val="22"/>
        </w:rPr>
        <w:t xml:space="preserve"> O</w:t>
      </w:r>
      <w:r w:rsidR="00F41E4F">
        <w:rPr>
          <w:rFonts w:asciiTheme="minorHAnsi" w:hAnsiTheme="minorHAnsi" w:cstheme="minorHAnsi"/>
          <w:szCs w:val="22"/>
        </w:rPr>
        <w:t>ur goal is to reach full</w:t>
      </w:r>
      <w:r w:rsidR="006819F7" w:rsidRPr="002B2E31">
        <w:rPr>
          <w:rFonts w:asciiTheme="minorHAnsi" w:hAnsiTheme="minorHAnsi" w:cstheme="minorHAnsi"/>
          <w:szCs w:val="22"/>
        </w:rPr>
        <w:t xml:space="preserve"> c</w:t>
      </w:r>
      <w:r w:rsidR="00F41E4F">
        <w:rPr>
          <w:rFonts w:asciiTheme="minorHAnsi" w:hAnsiTheme="minorHAnsi" w:cstheme="minorHAnsi"/>
          <w:szCs w:val="22"/>
        </w:rPr>
        <w:t>ompliance for the SKCCC records.</w:t>
      </w:r>
    </w:p>
    <w:tbl>
      <w:tblPr>
        <w:tblStyle w:val="TableGrid"/>
        <w:tblW w:w="0" w:type="auto"/>
        <w:tblInd w:w="720" w:type="dxa"/>
        <w:tblLook w:val="04A0" w:firstRow="1" w:lastRow="0" w:firstColumn="1" w:lastColumn="0" w:noHBand="0" w:noVBand="1"/>
      </w:tblPr>
      <w:tblGrid>
        <w:gridCol w:w="2892"/>
        <w:gridCol w:w="2879"/>
        <w:gridCol w:w="2859"/>
      </w:tblGrid>
      <w:tr w:rsidR="00EA3435" w:rsidRPr="002B2E31" w14:paraId="3BD7061C" w14:textId="77777777" w:rsidTr="00D3610E">
        <w:tc>
          <w:tcPr>
            <w:tcW w:w="3116" w:type="dxa"/>
          </w:tcPr>
          <w:p w14:paraId="14B5FB58" w14:textId="77777777" w:rsidR="00EA3435" w:rsidRPr="00DF6FCA" w:rsidRDefault="00EA3435" w:rsidP="00D3610E">
            <w:pPr>
              <w:rPr>
                <w:rFonts w:asciiTheme="minorHAnsi" w:hAnsiTheme="minorHAnsi" w:cstheme="minorHAnsi"/>
                <w:b/>
                <w:szCs w:val="22"/>
              </w:rPr>
            </w:pPr>
            <w:r w:rsidRPr="00DF6FCA">
              <w:rPr>
                <w:rFonts w:asciiTheme="minorHAnsi" w:hAnsiTheme="minorHAnsi" w:cstheme="minorHAnsi"/>
                <w:b/>
                <w:szCs w:val="22"/>
              </w:rPr>
              <w:t>SKCCC</w:t>
            </w:r>
          </w:p>
        </w:tc>
        <w:tc>
          <w:tcPr>
            <w:tcW w:w="3117" w:type="dxa"/>
          </w:tcPr>
          <w:p w14:paraId="24782315" w14:textId="7C32ADE4" w:rsidR="00EA3435" w:rsidRPr="005459F9" w:rsidRDefault="00EA3435" w:rsidP="00D3610E">
            <w:pPr>
              <w:rPr>
                <w:rFonts w:asciiTheme="minorHAnsi" w:hAnsiTheme="minorHAnsi" w:cstheme="minorHAnsi"/>
                <w:b/>
                <w:szCs w:val="22"/>
              </w:rPr>
            </w:pPr>
            <w:r w:rsidRPr="005459F9">
              <w:rPr>
                <w:rFonts w:asciiTheme="minorHAnsi" w:hAnsiTheme="minorHAnsi" w:cstheme="minorHAnsi"/>
                <w:b/>
                <w:szCs w:val="22"/>
              </w:rPr>
              <w:t>August 201</w:t>
            </w:r>
            <w:r w:rsidR="00BA55CA" w:rsidRPr="005459F9">
              <w:rPr>
                <w:rFonts w:asciiTheme="minorHAnsi" w:hAnsiTheme="minorHAnsi" w:cstheme="minorHAnsi"/>
                <w:b/>
                <w:szCs w:val="22"/>
              </w:rPr>
              <w:t>9</w:t>
            </w:r>
          </w:p>
        </w:tc>
        <w:tc>
          <w:tcPr>
            <w:tcW w:w="3117" w:type="dxa"/>
          </w:tcPr>
          <w:p w14:paraId="2FE69460" w14:textId="42EAE310" w:rsidR="00EA3435" w:rsidRPr="005459F9" w:rsidRDefault="00EA3435" w:rsidP="00D3610E">
            <w:pPr>
              <w:rPr>
                <w:rFonts w:asciiTheme="minorHAnsi" w:hAnsiTheme="minorHAnsi" w:cstheme="minorHAnsi"/>
                <w:b/>
                <w:szCs w:val="22"/>
              </w:rPr>
            </w:pPr>
            <w:r w:rsidRPr="005459F9">
              <w:rPr>
                <w:rFonts w:asciiTheme="minorHAnsi" w:hAnsiTheme="minorHAnsi" w:cstheme="minorHAnsi"/>
                <w:b/>
                <w:szCs w:val="22"/>
              </w:rPr>
              <w:t>July 20</w:t>
            </w:r>
            <w:r w:rsidR="00BA55CA" w:rsidRPr="005459F9">
              <w:rPr>
                <w:rFonts w:asciiTheme="minorHAnsi" w:hAnsiTheme="minorHAnsi" w:cstheme="minorHAnsi"/>
                <w:b/>
                <w:szCs w:val="22"/>
              </w:rPr>
              <w:t>20</w:t>
            </w:r>
          </w:p>
        </w:tc>
      </w:tr>
      <w:tr w:rsidR="00EA3435" w:rsidRPr="002B2E31" w14:paraId="73C217AA" w14:textId="77777777" w:rsidTr="00D3610E">
        <w:tc>
          <w:tcPr>
            <w:tcW w:w="3116" w:type="dxa"/>
          </w:tcPr>
          <w:p w14:paraId="431234D7" w14:textId="77777777" w:rsidR="00EA3435" w:rsidRPr="005459F9" w:rsidRDefault="00EA3435" w:rsidP="00D3610E">
            <w:pPr>
              <w:rPr>
                <w:rFonts w:asciiTheme="minorHAnsi" w:hAnsiTheme="minorHAnsi" w:cstheme="minorHAnsi"/>
                <w:szCs w:val="22"/>
              </w:rPr>
            </w:pPr>
            <w:r w:rsidRPr="005459F9">
              <w:rPr>
                <w:rFonts w:asciiTheme="minorHAnsi" w:hAnsiTheme="minorHAnsi" w:cstheme="minorHAnsi"/>
                <w:szCs w:val="22"/>
              </w:rPr>
              <w:t>Total Number of records</w:t>
            </w:r>
          </w:p>
        </w:tc>
        <w:tc>
          <w:tcPr>
            <w:tcW w:w="3117" w:type="dxa"/>
          </w:tcPr>
          <w:p w14:paraId="2C81FFB0" w14:textId="7F18823F" w:rsidR="00EA3435" w:rsidRPr="005459F9" w:rsidRDefault="005459F9" w:rsidP="00D3610E">
            <w:pPr>
              <w:rPr>
                <w:rFonts w:asciiTheme="minorHAnsi" w:hAnsiTheme="minorHAnsi" w:cstheme="minorHAnsi"/>
                <w:szCs w:val="22"/>
              </w:rPr>
            </w:pPr>
            <w:r>
              <w:rPr>
                <w:rFonts w:asciiTheme="minorHAnsi" w:hAnsiTheme="minorHAnsi" w:cstheme="minorHAnsi"/>
                <w:szCs w:val="22"/>
              </w:rPr>
              <w:t>472</w:t>
            </w:r>
          </w:p>
        </w:tc>
        <w:tc>
          <w:tcPr>
            <w:tcW w:w="3117" w:type="dxa"/>
          </w:tcPr>
          <w:p w14:paraId="123AC5C7" w14:textId="31DEFBAF" w:rsidR="00EA3435" w:rsidRPr="005459F9" w:rsidRDefault="005459F9" w:rsidP="00D3610E">
            <w:pPr>
              <w:rPr>
                <w:rFonts w:asciiTheme="minorHAnsi" w:hAnsiTheme="minorHAnsi" w:cstheme="minorHAnsi"/>
                <w:szCs w:val="22"/>
              </w:rPr>
            </w:pPr>
            <w:r>
              <w:rPr>
                <w:rFonts w:asciiTheme="minorHAnsi" w:hAnsiTheme="minorHAnsi" w:cstheme="minorHAnsi"/>
                <w:szCs w:val="22"/>
              </w:rPr>
              <w:t>495</w:t>
            </w:r>
          </w:p>
        </w:tc>
      </w:tr>
      <w:tr w:rsidR="00EA3435" w:rsidRPr="002B2E31" w14:paraId="182BF49D" w14:textId="77777777" w:rsidTr="00D3610E">
        <w:tc>
          <w:tcPr>
            <w:tcW w:w="3116" w:type="dxa"/>
          </w:tcPr>
          <w:p w14:paraId="7812D3AF" w14:textId="77777777" w:rsidR="00EA3435" w:rsidRPr="005459F9" w:rsidRDefault="00EA3435" w:rsidP="00D3610E">
            <w:pPr>
              <w:rPr>
                <w:rFonts w:asciiTheme="minorHAnsi" w:hAnsiTheme="minorHAnsi" w:cstheme="minorHAnsi"/>
                <w:szCs w:val="22"/>
              </w:rPr>
            </w:pPr>
            <w:r w:rsidRPr="005459F9">
              <w:rPr>
                <w:rFonts w:asciiTheme="minorHAnsi" w:hAnsiTheme="minorHAnsi" w:cstheme="minorHAnsi"/>
                <w:szCs w:val="22"/>
              </w:rPr>
              <w:t>Problem Records</w:t>
            </w:r>
          </w:p>
        </w:tc>
        <w:tc>
          <w:tcPr>
            <w:tcW w:w="3117" w:type="dxa"/>
          </w:tcPr>
          <w:p w14:paraId="054FD564" w14:textId="67131187" w:rsidR="00EA3435" w:rsidRPr="005459F9" w:rsidRDefault="005459F9" w:rsidP="00D3610E">
            <w:pPr>
              <w:rPr>
                <w:rFonts w:asciiTheme="minorHAnsi" w:hAnsiTheme="minorHAnsi" w:cstheme="minorHAnsi"/>
                <w:szCs w:val="22"/>
              </w:rPr>
            </w:pPr>
            <w:r>
              <w:rPr>
                <w:rFonts w:asciiTheme="minorHAnsi" w:hAnsiTheme="minorHAnsi" w:cstheme="minorHAnsi"/>
                <w:szCs w:val="22"/>
              </w:rPr>
              <w:t>26</w:t>
            </w:r>
          </w:p>
        </w:tc>
        <w:tc>
          <w:tcPr>
            <w:tcW w:w="3117" w:type="dxa"/>
          </w:tcPr>
          <w:p w14:paraId="62BA17B2" w14:textId="53BF6C83" w:rsidR="00EA3435" w:rsidRPr="005459F9" w:rsidRDefault="005459F9" w:rsidP="00D3610E">
            <w:pPr>
              <w:rPr>
                <w:rFonts w:asciiTheme="minorHAnsi" w:hAnsiTheme="minorHAnsi" w:cstheme="minorHAnsi"/>
                <w:szCs w:val="22"/>
              </w:rPr>
            </w:pPr>
            <w:r>
              <w:rPr>
                <w:rFonts w:asciiTheme="minorHAnsi" w:hAnsiTheme="minorHAnsi" w:cstheme="minorHAnsi"/>
                <w:szCs w:val="22"/>
              </w:rPr>
              <w:t>14</w:t>
            </w:r>
          </w:p>
        </w:tc>
      </w:tr>
      <w:tr w:rsidR="00EA3435" w14:paraId="26B8D71C" w14:textId="77777777" w:rsidTr="00D3610E">
        <w:tc>
          <w:tcPr>
            <w:tcW w:w="3116" w:type="dxa"/>
          </w:tcPr>
          <w:p w14:paraId="6953E28E" w14:textId="77777777" w:rsidR="00EA3435" w:rsidRPr="002B2E31" w:rsidRDefault="00EA3435" w:rsidP="00D3610E">
            <w:pPr>
              <w:rPr>
                <w:rFonts w:asciiTheme="minorHAnsi" w:hAnsiTheme="minorHAnsi" w:cstheme="minorHAnsi"/>
                <w:szCs w:val="22"/>
              </w:rPr>
            </w:pPr>
            <w:r w:rsidRPr="002B2E31">
              <w:rPr>
                <w:rFonts w:asciiTheme="minorHAnsi" w:hAnsiTheme="minorHAnsi" w:cstheme="minorHAnsi"/>
                <w:szCs w:val="22"/>
              </w:rPr>
              <w:t>Late Results</w:t>
            </w:r>
          </w:p>
        </w:tc>
        <w:tc>
          <w:tcPr>
            <w:tcW w:w="3117" w:type="dxa"/>
          </w:tcPr>
          <w:p w14:paraId="52275247" w14:textId="5B0A1AB9" w:rsidR="00EA3435" w:rsidRPr="00035D51" w:rsidRDefault="005459F9" w:rsidP="00D3610E">
            <w:pPr>
              <w:rPr>
                <w:rFonts w:asciiTheme="minorHAnsi" w:hAnsiTheme="minorHAnsi" w:cstheme="minorHAnsi"/>
                <w:szCs w:val="22"/>
                <w:highlight w:val="yellow"/>
              </w:rPr>
            </w:pPr>
            <w:r w:rsidRPr="005459F9">
              <w:rPr>
                <w:rFonts w:asciiTheme="minorHAnsi" w:hAnsiTheme="minorHAnsi" w:cstheme="minorHAnsi"/>
                <w:szCs w:val="22"/>
              </w:rPr>
              <w:t>7</w:t>
            </w:r>
          </w:p>
        </w:tc>
        <w:tc>
          <w:tcPr>
            <w:tcW w:w="3117" w:type="dxa"/>
          </w:tcPr>
          <w:p w14:paraId="498C4ED3" w14:textId="4F9A2E53" w:rsidR="00EA3435" w:rsidRPr="005459F9" w:rsidRDefault="005459F9" w:rsidP="00D3610E">
            <w:pPr>
              <w:rPr>
                <w:rFonts w:asciiTheme="minorHAnsi" w:hAnsiTheme="minorHAnsi" w:cstheme="minorHAnsi"/>
                <w:szCs w:val="22"/>
              </w:rPr>
            </w:pPr>
            <w:r>
              <w:rPr>
                <w:rFonts w:asciiTheme="minorHAnsi" w:hAnsiTheme="minorHAnsi" w:cstheme="minorHAnsi"/>
                <w:szCs w:val="22"/>
              </w:rPr>
              <w:t>5</w:t>
            </w:r>
          </w:p>
        </w:tc>
      </w:tr>
    </w:tbl>
    <w:p w14:paraId="1C211A93" w14:textId="77777777" w:rsidR="00724C93" w:rsidRDefault="00724C93" w:rsidP="00724C93">
      <w:pPr>
        <w:spacing w:before="0" w:beforeAutospacing="0" w:after="0" w:afterAutospacing="0"/>
        <w:ind w:left="720"/>
        <w:rPr>
          <w:rFonts w:asciiTheme="minorHAnsi" w:hAnsiTheme="minorHAnsi" w:cstheme="minorHAnsi"/>
          <w:szCs w:val="22"/>
        </w:rPr>
      </w:pPr>
    </w:p>
    <w:p w14:paraId="3D05453B" w14:textId="6A23B5EA" w:rsidR="005C6564" w:rsidRDefault="005C6564" w:rsidP="00724C93">
      <w:pPr>
        <w:spacing w:before="0" w:beforeAutospacing="0" w:after="0" w:afterAutospacing="0"/>
        <w:ind w:left="720"/>
        <w:rPr>
          <w:rFonts w:asciiTheme="minorHAnsi" w:hAnsiTheme="minorHAnsi" w:cstheme="minorHAnsi"/>
          <w:szCs w:val="22"/>
        </w:rPr>
      </w:pPr>
      <w:r>
        <w:rPr>
          <w:rFonts w:asciiTheme="minorHAnsi" w:hAnsiTheme="minorHAnsi" w:cstheme="minorHAnsi"/>
          <w:szCs w:val="22"/>
        </w:rPr>
        <w:t>We</w:t>
      </w:r>
      <w:r w:rsidRPr="005C6564">
        <w:rPr>
          <w:rFonts w:asciiTheme="minorHAnsi" w:hAnsiTheme="minorHAnsi" w:cstheme="minorHAnsi"/>
          <w:szCs w:val="22"/>
        </w:rPr>
        <w:t xml:space="preserve"> collaborate with other Johns Hopkins entities through monthly catch up calls and other periodic communications. These entities include All Children’s Hospital (ACH), Johns Hopkins School of Public Health (JHSPH) and the Kennedy Krieger Institute (KKI).</w:t>
      </w:r>
      <w:r w:rsidR="002E6DCD">
        <w:rPr>
          <w:rFonts w:asciiTheme="minorHAnsi" w:hAnsiTheme="minorHAnsi" w:cstheme="minorHAnsi"/>
          <w:szCs w:val="22"/>
        </w:rPr>
        <w:t xml:space="preserve"> We also continue to collaborate with the </w:t>
      </w:r>
      <w:hyperlink r:id="rId7" w:history="1">
        <w:r w:rsidR="002E6DCD" w:rsidRPr="002E6DCD">
          <w:rPr>
            <w:rStyle w:val="Hyperlink"/>
            <w:rFonts w:asciiTheme="minorHAnsi" w:hAnsiTheme="minorHAnsi" w:cstheme="minorHAnsi"/>
            <w:szCs w:val="22"/>
          </w:rPr>
          <w:t>Clinical Trial Registration and Results Reporting Taskforce</w:t>
        </w:r>
      </w:hyperlink>
      <w:r w:rsidR="002E6DCD">
        <w:rPr>
          <w:rFonts w:asciiTheme="minorHAnsi" w:hAnsiTheme="minorHAnsi" w:cstheme="minorHAnsi"/>
          <w:szCs w:val="22"/>
        </w:rPr>
        <w:t>.</w:t>
      </w:r>
    </w:p>
    <w:p w14:paraId="7706BD14" w14:textId="589097C2" w:rsidR="00FA1319" w:rsidRDefault="00FA1319" w:rsidP="00724C93">
      <w:pPr>
        <w:spacing w:before="0" w:beforeAutospacing="0" w:after="0" w:afterAutospacing="0"/>
        <w:ind w:left="720"/>
        <w:rPr>
          <w:rFonts w:asciiTheme="minorHAnsi" w:hAnsiTheme="minorHAnsi" w:cstheme="minorHAnsi"/>
          <w:szCs w:val="22"/>
        </w:rPr>
      </w:pPr>
    </w:p>
    <w:p w14:paraId="3E1AD21B" w14:textId="5BC558EE" w:rsidR="00FA1319" w:rsidRDefault="001C0863" w:rsidP="00724C93">
      <w:pPr>
        <w:spacing w:before="0" w:beforeAutospacing="0" w:after="0" w:afterAutospacing="0"/>
        <w:ind w:left="720"/>
        <w:rPr>
          <w:rFonts w:asciiTheme="minorHAnsi" w:hAnsiTheme="minorHAnsi" w:cstheme="minorHAnsi"/>
          <w:szCs w:val="22"/>
        </w:rPr>
      </w:pPr>
      <w:r>
        <w:rPr>
          <w:rFonts w:asciiTheme="minorHAnsi" w:hAnsiTheme="minorHAnsi" w:cstheme="minorHAnsi"/>
          <w:szCs w:val="22"/>
        </w:rPr>
        <w:t>T</w:t>
      </w:r>
      <w:r w:rsidR="00FA1319">
        <w:rPr>
          <w:rFonts w:asciiTheme="minorHAnsi" w:hAnsiTheme="minorHAnsi" w:cstheme="minorHAnsi"/>
          <w:szCs w:val="22"/>
        </w:rPr>
        <w:t>hree most common mistakes research teams are still making</w:t>
      </w:r>
    </w:p>
    <w:p w14:paraId="7CC18DF9" w14:textId="77777777" w:rsidR="001C0863" w:rsidRDefault="001C0863" w:rsidP="00724C93">
      <w:pPr>
        <w:spacing w:before="0" w:beforeAutospacing="0" w:after="0" w:afterAutospacing="0"/>
        <w:ind w:left="720"/>
        <w:rPr>
          <w:rFonts w:asciiTheme="minorHAnsi" w:hAnsiTheme="minorHAnsi" w:cstheme="minorHAnsi"/>
          <w:szCs w:val="22"/>
        </w:rPr>
      </w:pPr>
    </w:p>
    <w:p w14:paraId="0E3DBB62" w14:textId="76CF4C01" w:rsidR="00724C93" w:rsidRDefault="001C0863" w:rsidP="001C0863">
      <w:pPr>
        <w:pStyle w:val="ListParagraph"/>
        <w:numPr>
          <w:ilvl w:val="0"/>
          <w:numId w:val="7"/>
        </w:numPr>
        <w:spacing w:before="0" w:beforeAutospacing="0" w:after="0" w:afterAutospacing="0"/>
        <w:rPr>
          <w:rFonts w:asciiTheme="minorHAnsi" w:hAnsiTheme="minorHAnsi" w:cstheme="minorHAnsi"/>
          <w:szCs w:val="22"/>
        </w:rPr>
      </w:pPr>
      <w:r w:rsidRPr="001C0863">
        <w:rPr>
          <w:rFonts w:asciiTheme="minorHAnsi" w:hAnsiTheme="minorHAnsi" w:cstheme="minorHAnsi"/>
          <w:szCs w:val="22"/>
        </w:rPr>
        <w:t xml:space="preserve">Investigators not abiding by statutory time frames </w:t>
      </w:r>
      <w:r>
        <w:rPr>
          <w:rFonts w:asciiTheme="minorHAnsi" w:hAnsiTheme="minorHAnsi" w:cstheme="minorHAnsi"/>
          <w:szCs w:val="22"/>
        </w:rPr>
        <w:t>(</w:t>
      </w:r>
      <w:r w:rsidRPr="001C0863">
        <w:rPr>
          <w:rFonts w:asciiTheme="minorHAnsi" w:hAnsiTheme="minorHAnsi" w:cstheme="minorHAnsi"/>
          <w:szCs w:val="22"/>
        </w:rPr>
        <w:t>i.e</w:t>
      </w:r>
      <w:r w:rsidR="00BA55CA">
        <w:rPr>
          <w:rFonts w:asciiTheme="minorHAnsi" w:hAnsiTheme="minorHAnsi" w:cstheme="minorHAnsi"/>
          <w:szCs w:val="22"/>
        </w:rPr>
        <w:t xml:space="preserve">., annual verification, anticipated start and/or completion dates, </w:t>
      </w:r>
      <w:r w:rsidRPr="001C0863">
        <w:rPr>
          <w:rFonts w:asciiTheme="minorHAnsi" w:hAnsiTheme="minorHAnsi" w:cstheme="minorHAnsi"/>
          <w:szCs w:val="22"/>
        </w:rPr>
        <w:t>reviewer comments</w:t>
      </w:r>
      <w:r>
        <w:rPr>
          <w:rFonts w:asciiTheme="minorHAnsi" w:hAnsiTheme="minorHAnsi" w:cstheme="minorHAnsi"/>
          <w:szCs w:val="22"/>
        </w:rPr>
        <w:t>)</w:t>
      </w:r>
      <w:r w:rsidRPr="001C0863">
        <w:rPr>
          <w:rFonts w:asciiTheme="minorHAnsi" w:hAnsiTheme="minorHAnsi" w:cstheme="minorHAnsi"/>
          <w:szCs w:val="22"/>
        </w:rPr>
        <w:t>.</w:t>
      </w:r>
    </w:p>
    <w:p w14:paraId="5AF59C1D" w14:textId="30E4A4D4" w:rsidR="001C0863" w:rsidRDefault="00BA55CA" w:rsidP="001C0863">
      <w:pPr>
        <w:pStyle w:val="ListParagraph"/>
        <w:numPr>
          <w:ilvl w:val="0"/>
          <w:numId w:val="7"/>
        </w:numPr>
        <w:spacing w:before="0" w:beforeAutospacing="0" w:after="0" w:afterAutospacing="0"/>
        <w:rPr>
          <w:rFonts w:asciiTheme="minorHAnsi" w:hAnsiTheme="minorHAnsi" w:cstheme="minorHAnsi"/>
          <w:szCs w:val="22"/>
        </w:rPr>
      </w:pPr>
      <w:r>
        <w:rPr>
          <w:rFonts w:asciiTheme="minorHAnsi" w:hAnsiTheme="minorHAnsi" w:cstheme="minorHAnsi"/>
          <w:szCs w:val="22"/>
        </w:rPr>
        <w:t>Investigators moving the</w:t>
      </w:r>
      <w:r w:rsidR="001C0863" w:rsidRPr="001C0863">
        <w:rPr>
          <w:rFonts w:asciiTheme="minorHAnsi" w:hAnsiTheme="minorHAnsi" w:cstheme="minorHAnsi"/>
          <w:szCs w:val="22"/>
        </w:rPr>
        <w:t xml:space="preserve"> primary completion date </w:t>
      </w:r>
      <w:r>
        <w:rPr>
          <w:rFonts w:asciiTheme="minorHAnsi" w:hAnsiTheme="minorHAnsi" w:cstheme="minorHAnsi"/>
          <w:szCs w:val="22"/>
        </w:rPr>
        <w:t xml:space="preserve">based on when they are ready to enter results and not when the statute requires (final date of data collection for primary outcome measures). </w:t>
      </w:r>
    </w:p>
    <w:p w14:paraId="7F3671AD" w14:textId="19437B7C" w:rsidR="001C0863" w:rsidRDefault="001C0863" w:rsidP="001C0863">
      <w:pPr>
        <w:pStyle w:val="ListParagraph"/>
        <w:numPr>
          <w:ilvl w:val="0"/>
          <w:numId w:val="7"/>
        </w:numPr>
        <w:spacing w:before="0" w:beforeAutospacing="0" w:after="0" w:afterAutospacing="0"/>
        <w:rPr>
          <w:rFonts w:asciiTheme="minorHAnsi" w:hAnsiTheme="minorHAnsi" w:cstheme="minorHAnsi"/>
          <w:szCs w:val="22"/>
        </w:rPr>
      </w:pPr>
      <w:r w:rsidRPr="001C0863">
        <w:rPr>
          <w:rFonts w:asciiTheme="minorHAnsi" w:hAnsiTheme="minorHAnsi" w:cstheme="minorHAnsi"/>
          <w:szCs w:val="22"/>
        </w:rPr>
        <w:t>Listing a study completion date later than the primary completion when both primary and secondary outcomes are based on same time frame.</w:t>
      </w:r>
    </w:p>
    <w:p w14:paraId="3E1FCD5D" w14:textId="77777777" w:rsidR="00E10DE6" w:rsidRPr="00E10DE6" w:rsidRDefault="00E10DE6" w:rsidP="00E10DE6">
      <w:pPr>
        <w:spacing w:before="0" w:beforeAutospacing="0" w:after="0" w:afterAutospacing="0"/>
        <w:ind w:left="1080"/>
        <w:rPr>
          <w:rFonts w:asciiTheme="minorHAnsi" w:hAnsiTheme="minorHAnsi" w:cstheme="minorHAnsi"/>
          <w:szCs w:val="22"/>
        </w:rPr>
      </w:pPr>
    </w:p>
    <w:p w14:paraId="19DB1870" w14:textId="7E24E4C7" w:rsidR="001C0863" w:rsidRDefault="00E10DE6" w:rsidP="00724C93">
      <w:pPr>
        <w:spacing w:before="0" w:beforeAutospacing="0" w:after="0" w:afterAutospacing="0"/>
        <w:ind w:left="720"/>
        <w:rPr>
          <w:rFonts w:asciiTheme="minorHAnsi" w:hAnsiTheme="minorHAnsi" w:cstheme="minorHAnsi"/>
          <w:szCs w:val="22"/>
        </w:rPr>
      </w:pPr>
      <w:r>
        <w:rPr>
          <w:rFonts w:asciiTheme="minorHAnsi" w:hAnsiTheme="minorHAnsi" w:cstheme="minorHAnsi"/>
          <w:szCs w:val="22"/>
        </w:rPr>
        <w:t>R</w:t>
      </w:r>
      <w:r w:rsidRPr="00E10DE6">
        <w:rPr>
          <w:rFonts w:asciiTheme="minorHAnsi" w:hAnsiTheme="minorHAnsi" w:cstheme="minorHAnsi"/>
          <w:szCs w:val="22"/>
        </w:rPr>
        <w:t>esearch teams have had manuscripts rejected because of late registration.</w:t>
      </w:r>
    </w:p>
    <w:p w14:paraId="442E0290" w14:textId="77777777" w:rsidR="00E10DE6" w:rsidRPr="00E10DE6" w:rsidRDefault="00E10DE6" w:rsidP="00724C93">
      <w:pPr>
        <w:spacing w:before="0" w:beforeAutospacing="0" w:after="0" w:afterAutospacing="0"/>
        <w:ind w:left="720"/>
        <w:rPr>
          <w:rFonts w:asciiTheme="minorHAnsi" w:hAnsiTheme="minorHAnsi" w:cstheme="minorHAnsi"/>
          <w:szCs w:val="22"/>
        </w:rPr>
      </w:pPr>
    </w:p>
    <w:p w14:paraId="79F36997" w14:textId="3F224E9B" w:rsidR="00FB20F4" w:rsidRDefault="006819F7" w:rsidP="00724C93">
      <w:pPr>
        <w:spacing w:before="0" w:beforeAutospacing="0" w:after="0" w:afterAutospacing="0"/>
        <w:ind w:left="720"/>
        <w:rPr>
          <w:rFonts w:asciiTheme="minorHAnsi" w:hAnsiTheme="minorHAnsi" w:cstheme="minorHAnsi"/>
          <w:i/>
          <w:szCs w:val="22"/>
        </w:rPr>
      </w:pPr>
      <w:r w:rsidRPr="00D85F3A">
        <w:rPr>
          <w:rFonts w:asciiTheme="minorHAnsi" w:hAnsiTheme="minorHAnsi" w:cstheme="minorHAnsi"/>
          <w:i/>
          <w:szCs w:val="22"/>
        </w:rPr>
        <w:t xml:space="preserve">Presentations </w:t>
      </w:r>
    </w:p>
    <w:p w14:paraId="646B1BE7" w14:textId="6C5E18C9" w:rsidR="00925785" w:rsidRPr="00115862" w:rsidRDefault="00925785" w:rsidP="00724C93">
      <w:pPr>
        <w:spacing w:before="0" w:beforeAutospacing="0" w:after="0" w:afterAutospacing="0"/>
        <w:ind w:left="720"/>
        <w:rPr>
          <w:rFonts w:asciiTheme="minorHAnsi" w:hAnsiTheme="minorHAnsi" w:cstheme="minorHAnsi"/>
          <w:szCs w:val="22"/>
        </w:rPr>
      </w:pPr>
      <w:r w:rsidRPr="00115862">
        <w:rPr>
          <w:rFonts w:asciiTheme="minorHAnsi" w:hAnsiTheme="minorHAnsi" w:cstheme="minorHAnsi"/>
          <w:szCs w:val="22"/>
        </w:rPr>
        <w:t>For an example of a recent presentation</w:t>
      </w:r>
      <w:r w:rsidR="001526ED">
        <w:rPr>
          <w:rFonts w:asciiTheme="minorHAnsi" w:hAnsiTheme="minorHAnsi" w:cstheme="minorHAnsi"/>
          <w:szCs w:val="22"/>
        </w:rPr>
        <w:t>s</w:t>
      </w:r>
      <w:r w:rsidRPr="00115862">
        <w:rPr>
          <w:rFonts w:asciiTheme="minorHAnsi" w:hAnsiTheme="minorHAnsi" w:cstheme="minorHAnsi"/>
          <w:szCs w:val="22"/>
        </w:rPr>
        <w:t>, click here to view the June 20</w:t>
      </w:r>
      <w:r w:rsidR="00D549B3">
        <w:rPr>
          <w:rFonts w:asciiTheme="minorHAnsi" w:hAnsiTheme="minorHAnsi" w:cstheme="minorHAnsi"/>
          <w:szCs w:val="22"/>
        </w:rPr>
        <w:t>20-</w:t>
      </w:r>
      <w:r w:rsidRPr="00115862">
        <w:rPr>
          <w:rFonts w:asciiTheme="minorHAnsi" w:hAnsiTheme="minorHAnsi" w:cstheme="minorHAnsi"/>
          <w:szCs w:val="22"/>
        </w:rPr>
        <w:t xml:space="preserve"> ICTR Third Thursday:</w:t>
      </w:r>
      <w:r w:rsidR="00D549B3" w:rsidRPr="00D549B3">
        <w:t xml:space="preserve"> </w:t>
      </w:r>
      <w:hyperlink r:id="rId8" w:history="1">
        <w:r w:rsidR="00D549B3" w:rsidRPr="001526ED">
          <w:rPr>
            <w:rStyle w:val="Hyperlink"/>
            <w:rFonts w:asciiTheme="minorHAnsi" w:hAnsiTheme="minorHAnsi" w:cstheme="minorHAnsi"/>
            <w:szCs w:val="22"/>
          </w:rPr>
          <w:t>ClinicalTrials.gov: Research in the Times of COVID-19</w:t>
        </w:r>
      </w:hyperlink>
    </w:p>
    <w:p w14:paraId="376EBABD" w14:textId="3D4EC99F" w:rsidR="00925785" w:rsidRDefault="00AC30A0" w:rsidP="00724C93">
      <w:pPr>
        <w:spacing w:before="0" w:beforeAutospacing="0" w:after="0" w:afterAutospacing="0"/>
        <w:ind w:left="720"/>
        <w:rPr>
          <w:rFonts w:asciiTheme="minorHAnsi" w:hAnsiTheme="minorHAnsi" w:cstheme="minorHAnsi"/>
          <w:i/>
          <w:szCs w:val="22"/>
        </w:rPr>
      </w:pPr>
      <w:hyperlink r:id="rId9" w:history="1">
        <w:r w:rsidR="001526ED" w:rsidRPr="001526ED">
          <w:rPr>
            <w:rStyle w:val="Hyperlink"/>
            <w:rFonts w:asciiTheme="minorHAnsi" w:hAnsiTheme="minorHAnsi" w:cstheme="minorHAnsi"/>
            <w:i/>
            <w:szCs w:val="22"/>
          </w:rPr>
          <w:t>Slides</w:t>
        </w:r>
      </w:hyperlink>
    </w:p>
    <w:p w14:paraId="1299B65A" w14:textId="3A50993E" w:rsidR="00035D51" w:rsidRDefault="00AC30A0" w:rsidP="00724C93">
      <w:pPr>
        <w:spacing w:before="0" w:beforeAutospacing="0" w:after="0" w:afterAutospacing="0"/>
        <w:ind w:left="720"/>
        <w:rPr>
          <w:rFonts w:asciiTheme="minorHAnsi" w:hAnsiTheme="minorHAnsi" w:cstheme="minorHAnsi"/>
          <w:i/>
          <w:szCs w:val="22"/>
        </w:rPr>
      </w:pPr>
      <w:hyperlink r:id="rId10" w:history="1">
        <w:r w:rsidR="00035D51" w:rsidRPr="00AC30A0">
          <w:rPr>
            <w:rStyle w:val="Hyperlink"/>
            <w:rFonts w:asciiTheme="minorHAnsi" w:hAnsiTheme="minorHAnsi" w:cstheme="minorHAnsi"/>
            <w:i/>
            <w:szCs w:val="22"/>
          </w:rPr>
          <w:t>Checklist</w:t>
        </w:r>
      </w:hyperlink>
    </w:p>
    <w:p w14:paraId="16D55B95" w14:textId="77777777" w:rsidR="001526ED" w:rsidRDefault="001526ED" w:rsidP="00724C93">
      <w:pPr>
        <w:spacing w:before="0" w:beforeAutospacing="0" w:after="0" w:afterAutospacing="0"/>
        <w:ind w:left="720"/>
        <w:rPr>
          <w:rFonts w:asciiTheme="minorHAnsi" w:hAnsiTheme="minorHAnsi" w:cstheme="minorHAnsi"/>
          <w:i/>
          <w:szCs w:val="22"/>
        </w:rPr>
      </w:pPr>
    </w:p>
    <w:p w14:paraId="7966C63F" w14:textId="77777777" w:rsidR="00E14FAB" w:rsidRPr="00901180" w:rsidRDefault="00E14FAB" w:rsidP="00E14FAB">
      <w:pPr>
        <w:pStyle w:val="ListParagraph"/>
        <w:numPr>
          <w:ilvl w:val="0"/>
          <w:numId w:val="4"/>
        </w:numPr>
        <w:spacing w:before="0" w:beforeAutospacing="0" w:after="0" w:afterAutospacing="0"/>
        <w:ind w:left="990" w:hanging="270"/>
        <w:rPr>
          <w:rFonts w:asciiTheme="minorHAnsi" w:hAnsiTheme="minorHAnsi" w:cstheme="minorHAnsi"/>
          <w:szCs w:val="22"/>
        </w:rPr>
      </w:pPr>
      <w:r w:rsidRPr="00901180">
        <w:rPr>
          <w:rFonts w:asciiTheme="minorHAnsi" w:hAnsiTheme="minorHAnsi" w:cstheme="minorHAnsi"/>
          <w:szCs w:val="22"/>
        </w:rPr>
        <w:t xml:space="preserve">We are available to conduct in-person presentations to various Schools, Departments and groups.  </w:t>
      </w:r>
    </w:p>
    <w:p w14:paraId="76D04C94" w14:textId="3AAF1243" w:rsidR="00E14FAB" w:rsidRPr="00901180" w:rsidRDefault="00E14FAB" w:rsidP="00E14FAB">
      <w:pPr>
        <w:pStyle w:val="ListParagraph"/>
        <w:numPr>
          <w:ilvl w:val="0"/>
          <w:numId w:val="4"/>
        </w:numPr>
        <w:spacing w:before="0" w:beforeAutospacing="0" w:after="0" w:afterAutospacing="0"/>
        <w:ind w:left="990" w:hanging="270"/>
        <w:rPr>
          <w:rFonts w:asciiTheme="minorHAnsi" w:hAnsiTheme="minorHAnsi" w:cstheme="minorHAnsi"/>
          <w:szCs w:val="22"/>
        </w:rPr>
      </w:pPr>
      <w:r w:rsidRPr="00901180">
        <w:rPr>
          <w:rFonts w:asciiTheme="minorHAnsi" w:hAnsiTheme="minorHAnsi" w:cstheme="minorHAnsi"/>
          <w:szCs w:val="22"/>
        </w:rPr>
        <w:t xml:space="preserve">Presentations </w:t>
      </w:r>
      <w:r w:rsidR="00657FE7">
        <w:rPr>
          <w:rFonts w:asciiTheme="minorHAnsi" w:hAnsiTheme="minorHAnsi" w:cstheme="minorHAnsi"/>
          <w:szCs w:val="22"/>
        </w:rPr>
        <w:t xml:space="preserve">can </w:t>
      </w:r>
      <w:r w:rsidRPr="00901180">
        <w:rPr>
          <w:rFonts w:asciiTheme="minorHAnsi" w:hAnsiTheme="minorHAnsi" w:cstheme="minorHAnsi"/>
          <w:szCs w:val="22"/>
        </w:rPr>
        <w:t xml:space="preserve">range from 5-150 attendees and 15-60 minutes. </w:t>
      </w:r>
      <w:r w:rsidR="00925785">
        <w:rPr>
          <w:rFonts w:asciiTheme="minorHAnsi" w:hAnsiTheme="minorHAnsi" w:cstheme="minorHAnsi"/>
          <w:szCs w:val="22"/>
        </w:rPr>
        <w:t>Presentations will greatly enhance the understanding by research teams and improve compliance.</w:t>
      </w:r>
    </w:p>
    <w:p w14:paraId="3016C6F9" w14:textId="77777777" w:rsidR="00480B93" w:rsidRDefault="00480B93" w:rsidP="00480B93">
      <w:pPr>
        <w:pStyle w:val="ListParagraph"/>
        <w:numPr>
          <w:ilvl w:val="0"/>
          <w:numId w:val="4"/>
        </w:numPr>
        <w:spacing w:before="0" w:beforeAutospacing="0" w:after="0" w:afterAutospacing="0"/>
        <w:ind w:left="990" w:hanging="270"/>
        <w:rPr>
          <w:rFonts w:asciiTheme="minorHAnsi" w:hAnsiTheme="minorHAnsi" w:cstheme="minorHAnsi"/>
          <w:szCs w:val="22"/>
        </w:rPr>
      </w:pPr>
      <w:r w:rsidRPr="00D85F3A">
        <w:rPr>
          <w:rFonts w:asciiTheme="minorHAnsi" w:hAnsiTheme="minorHAnsi" w:cstheme="minorHAnsi"/>
          <w:szCs w:val="22"/>
        </w:rPr>
        <w:t>Please contact us so we can custom tailor a presentation during rounds, a faculty meeting, or specially called meeting for your group.</w:t>
      </w:r>
    </w:p>
    <w:p w14:paraId="74DC0603" w14:textId="3946F234" w:rsidR="006819F7" w:rsidRDefault="006819F7" w:rsidP="006819F7">
      <w:pPr>
        <w:spacing w:before="0" w:beforeAutospacing="0" w:after="0" w:afterAutospacing="0"/>
        <w:ind w:left="990" w:hanging="270"/>
        <w:rPr>
          <w:rFonts w:asciiTheme="minorHAnsi" w:hAnsiTheme="minorHAnsi" w:cstheme="minorHAnsi"/>
          <w:b/>
          <w:szCs w:val="22"/>
        </w:rPr>
      </w:pPr>
    </w:p>
    <w:p w14:paraId="71C696D2" w14:textId="6A94DFA3" w:rsidR="004973EA" w:rsidRDefault="004973EA" w:rsidP="006819F7">
      <w:pPr>
        <w:spacing w:before="0" w:beforeAutospacing="0" w:after="0" w:afterAutospacing="0"/>
        <w:ind w:left="990" w:hanging="270"/>
        <w:rPr>
          <w:rFonts w:asciiTheme="minorHAnsi" w:hAnsiTheme="minorHAnsi" w:cstheme="minorHAnsi"/>
          <w:b/>
          <w:szCs w:val="22"/>
        </w:rPr>
      </w:pPr>
    </w:p>
    <w:p w14:paraId="6C54590A" w14:textId="7AE8B2E4" w:rsidR="004973EA" w:rsidRDefault="004973EA" w:rsidP="006819F7">
      <w:pPr>
        <w:spacing w:before="0" w:beforeAutospacing="0" w:after="0" w:afterAutospacing="0"/>
        <w:ind w:left="990" w:hanging="270"/>
        <w:rPr>
          <w:rFonts w:asciiTheme="minorHAnsi" w:hAnsiTheme="minorHAnsi" w:cstheme="minorHAnsi"/>
          <w:b/>
          <w:szCs w:val="22"/>
        </w:rPr>
      </w:pPr>
    </w:p>
    <w:p w14:paraId="4C23C226" w14:textId="12DC063F" w:rsidR="004973EA" w:rsidRDefault="004973EA" w:rsidP="006819F7">
      <w:pPr>
        <w:spacing w:before="0" w:beforeAutospacing="0" w:after="0" w:afterAutospacing="0"/>
        <w:ind w:left="990" w:hanging="270"/>
        <w:rPr>
          <w:rFonts w:asciiTheme="minorHAnsi" w:hAnsiTheme="minorHAnsi" w:cstheme="minorHAnsi"/>
          <w:b/>
          <w:szCs w:val="22"/>
        </w:rPr>
      </w:pPr>
    </w:p>
    <w:p w14:paraId="1DE85B95" w14:textId="77777777" w:rsidR="004973EA" w:rsidRPr="00D85F3A" w:rsidRDefault="004973EA" w:rsidP="006819F7">
      <w:pPr>
        <w:spacing w:before="0" w:beforeAutospacing="0" w:after="0" w:afterAutospacing="0"/>
        <w:ind w:left="990" w:hanging="270"/>
        <w:rPr>
          <w:rFonts w:asciiTheme="minorHAnsi" w:hAnsiTheme="minorHAnsi" w:cstheme="minorHAnsi"/>
          <w:b/>
          <w:szCs w:val="22"/>
        </w:rPr>
      </w:pPr>
    </w:p>
    <w:p w14:paraId="0D81BFFC" w14:textId="77777777" w:rsidR="00887930" w:rsidRDefault="00887930" w:rsidP="00BD79E9">
      <w:pPr>
        <w:spacing w:before="0" w:beforeAutospacing="0" w:after="0" w:afterAutospacing="0"/>
        <w:outlineLvl w:val="0"/>
        <w:rPr>
          <w:rFonts w:asciiTheme="majorHAnsi" w:hAnsiTheme="majorHAnsi" w:cstheme="majorHAnsi"/>
          <w:b/>
          <w:szCs w:val="22"/>
        </w:rPr>
      </w:pPr>
    </w:p>
    <w:p w14:paraId="3F113732" w14:textId="77777777" w:rsidR="00887930" w:rsidRDefault="00887930" w:rsidP="00BD79E9">
      <w:pPr>
        <w:spacing w:before="0" w:beforeAutospacing="0" w:after="0" w:afterAutospacing="0"/>
        <w:outlineLvl w:val="0"/>
        <w:rPr>
          <w:rFonts w:asciiTheme="majorHAnsi" w:hAnsiTheme="majorHAnsi" w:cstheme="majorHAnsi"/>
          <w:b/>
          <w:szCs w:val="22"/>
        </w:rPr>
      </w:pPr>
    </w:p>
    <w:p w14:paraId="5605B0B8" w14:textId="5482F581" w:rsidR="003A78F9" w:rsidRPr="003A78F9" w:rsidRDefault="002E1B6B" w:rsidP="00BD79E9">
      <w:pPr>
        <w:spacing w:before="0" w:beforeAutospacing="0" w:after="0" w:afterAutospacing="0"/>
        <w:outlineLvl w:val="0"/>
        <w:rPr>
          <w:rFonts w:asciiTheme="majorHAnsi" w:hAnsiTheme="majorHAnsi" w:cstheme="majorHAnsi"/>
          <w:b/>
          <w:szCs w:val="22"/>
        </w:rPr>
      </w:pPr>
      <w:r w:rsidRPr="003A78F9">
        <w:rPr>
          <w:rFonts w:asciiTheme="majorHAnsi" w:hAnsiTheme="majorHAnsi" w:cstheme="majorHAnsi"/>
          <w:b/>
          <w:szCs w:val="22"/>
        </w:rPr>
        <w:lastRenderedPageBreak/>
        <w:t>CHANGES IN THE PAST YEAR</w:t>
      </w:r>
    </w:p>
    <w:p w14:paraId="33595438" w14:textId="7F74AF0E" w:rsidR="00D4628A" w:rsidRDefault="00D85F3A" w:rsidP="00BD79E9">
      <w:pPr>
        <w:spacing w:before="0" w:beforeAutospacing="0" w:after="0" w:afterAutospacing="0"/>
        <w:ind w:left="720"/>
        <w:rPr>
          <w:rFonts w:asciiTheme="minorHAnsi" w:hAnsiTheme="minorHAnsi" w:cstheme="minorHAnsi"/>
          <w:i/>
          <w:szCs w:val="22"/>
        </w:rPr>
      </w:pPr>
      <w:r w:rsidRPr="00D85F3A">
        <w:rPr>
          <w:rFonts w:asciiTheme="minorHAnsi" w:hAnsiTheme="minorHAnsi" w:cstheme="minorHAnsi"/>
          <w:i/>
          <w:szCs w:val="22"/>
        </w:rPr>
        <w:t>Staffing:</w:t>
      </w:r>
    </w:p>
    <w:p w14:paraId="3A6CBA27" w14:textId="2CF05B1B" w:rsidR="001526ED" w:rsidRPr="001526ED" w:rsidRDefault="001526ED" w:rsidP="00BD79E9">
      <w:pPr>
        <w:spacing w:before="0" w:beforeAutospacing="0" w:after="0" w:afterAutospacing="0"/>
        <w:ind w:left="720"/>
        <w:rPr>
          <w:rFonts w:asciiTheme="minorHAnsi" w:hAnsiTheme="minorHAnsi" w:cstheme="minorHAnsi"/>
          <w:szCs w:val="22"/>
        </w:rPr>
      </w:pPr>
      <w:r w:rsidRPr="001526ED">
        <w:rPr>
          <w:rFonts w:asciiTheme="minorHAnsi" w:hAnsiTheme="minorHAnsi" w:cstheme="minorHAnsi"/>
          <w:szCs w:val="22"/>
          <w:u w:val="single"/>
        </w:rPr>
        <w:t>Prince Nuamah</w:t>
      </w:r>
      <w:r w:rsidRPr="001526ED">
        <w:rPr>
          <w:rFonts w:asciiTheme="minorHAnsi" w:hAnsiTheme="minorHAnsi" w:cstheme="minorHAnsi"/>
          <w:szCs w:val="22"/>
        </w:rPr>
        <w:t xml:space="preserve"> complet</w:t>
      </w:r>
      <w:r>
        <w:rPr>
          <w:rFonts w:asciiTheme="minorHAnsi" w:hAnsiTheme="minorHAnsi" w:cstheme="minorHAnsi"/>
          <w:szCs w:val="22"/>
        </w:rPr>
        <w:t>ed</w:t>
      </w:r>
      <w:r w:rsidRPr="001526ED">
        <w:rPr>
          <w:rFonts w:asciiTheme="minorHAnsi" w:hAnsiTheme="minorHAnsi" w:cstheme="minorHAnsi"/>
          <w:szCs w:val="22"/>
        </w:rPr>
        <w:t xml:space="preserve"> the </w:t>
      </w:r>
      <w:hyperlink r:id="rId11" w:history="1">
        <w:r w:rsidRPr="001526ED">
          <w:rPr>
            <w:rStyle w:val="Hyperlink"/>
            <w:rFonts w:asciiTheme="minorHAnsi" w:hAnsiTheme="minorHAnsi" w:cstheme="minorHAnsi"/>
            <w:szCs w:val="22"/>
          </w:rPr>
          <w:t>Executive Certificate in Business Communication</w:t>
        </w:r>
      </w:hyperlink>
      <w:r>
        <w:rPr>
          <w:rFonts w:asciiTheme="minorHAnsi" w:hAnsiTheme="minorHAnsi" w:cstheme="minorHAnsi"/>
          <w:szCs w:val="22"/>
        </w:rPr>
        <w:t xml:space="preserve"> </w:t>
      </w:r>
      <w:r w:rsidRPr="001526ED">
        <w:rPr>
          <w:rFonts w:asciiTheme="minorHAnsi" w:hAnsiTheme="minorHAnsi" w:cstheme="minorHAnsi"/>
          <w:szCs w:val="22"/>
        </w:rPr>
        <w:t>at the Carey Business School.</w:t>
      </w:r>
    </w:p>
    <w:p w14:paraId="0500A5DD" w14:textId="789DAD6D" w:rsidR="00EB4C91" w:rsidRDefault="00FC78C7" w:rsidP="00EB4C91">
      <w:pPr>
        <w:spacing w:before="0" w:beforeAutospacing="0" w:after="0" w:afterAutospacing="0"/>
        <w:ind w:left="720"/>
        <w:rPr>
          <w:rFonts w:asciiTheme="minorHAnsi" w:hAnsiTheme="minorHAnsi" w:cstheme="minorHAnsi"/>
          <w:szCs w:val="22"/>
          <w:u w:val="single"/>
        </w:rPr>
      </w:pPr>
      <w:r>
        <w:rPr>
          <w:rFonts w:asciiTheme="minorHAnsi" w:hAnsiTheme="minorHAnsi" w:cstheme="minorHAnsi"/>
          <w:szCs w:val="22"/>
          <w:u w:val="single"/>
        </w:rPr>
        <w:t>Oswald</w:t>
      </w:r>
      <w:r w:rsidRPr="001526ED">
        <w:rPr>
          <w:rFonts w:asciiTheme="minorHAnsi" w:hAnsiTheme="minorHAnsi" w:cstheme="minorHAnsi"/>
          <w:szCs w:val="22"/>
          <w:u w:val="single"/>
        </w:rPr>
        <w:t xml:space="preserve"> </w:t>
      </w:r>
      <w:r w:rsidR="00BE461F" w:rsidRPr="001526ED">
        <w:rPr>
          <w:rFonts w:asciiTheme="minorHAnsi" w:hAnsiTheme="minorHAnsi" w:cstheme="minorHAnsi"/>
          <w:szCs w:val="22"/>
          <w:u w:val="single"/>
        </w:rPr>
        <w:t>Tetteh</w:t>
      </w:r>
      <w:r w:rsidR="001526ED">
        <w:rPr>
          <w:rFonts w:asciiTheme="minorHAnsi" w:hAnsiTheme="minorHAnsi" w:cstheme="minorHAnsi"/>
          <w:szCs w:val="22"/>
        </w:rPr>
        <w:t xml:space="preserve"> is working toward </w:t>
      </w:r>
      <w:r w:rsidR="00D85F3A" w:rsidRPr="00825CD4">
        <w:rPr>
          <w:rFonts w:asciiTheme="minorHAnsi" w:hAnsiTheme="minorHAnsi" w:cstheme="minorHAnsi"/>
          <w:szCs w:val="22"/>
        </w:rPr>
        <w:t>complet</w:t>
      </w:r>
      <w:r w:rsidR="001526ED">
        <w:rPr>
          <w:rFonts w:asciiTheme="minorHAnsi" w:hAnsiTheme="minorHAnsi" w:cstheme="minorHAnsi"/>
          <w:szCs w:val="22"/>
        </w:rPr>
        <w:t>ion of</w:t>
      </w:r>
      <w:r w:rsidR="00D85F3A" w:rsidRPr="00825CD4">
        <w:rPr>
          <w:rFonts w:asciiTheme="minorHAnsi" w:hAnsiTheme="minorHAnsi" w:cstheme="minorHAnsi"/>
          <w:szCs w:val="22"/>
        </w:rPr>
        <w:t xml:space="preserve"> the </w:t>
      </w:r>
      <w:bookmarkStart w:id="0" w:name="_Hlk68684521"/>
      <w:r w:rsidR="001526ED">
        <w:rPr>
          <w:rFonts w:asciiTheme="minorHAnsi" w:hAnsiTheme="minorHAnsi" w:cstheme="minorHAnsi"/>
          <w:szCs w:val="22"/>
        </w:rPr>
        <w:fldChar w:fldCharType="begin"/>
      </w:r>
      <w:r w:rsidR="001526ED">
        <w:rPr>
          <w:rFonts w:asciiTheme="minorHAnsi" w:hAnsiTheme="minorHAnsi" w:cstheme="minorHAnsi"/>
          <w:szCs w:val="22"/>
        </w:rPr>
        <w:instrText xml:space="preserve"> HYPERLINK "https://carey.jhu.edu/programs/executive-education/programs-individuals/executive-certificates/business-communication" </w:instrText>
      </w:r>
      <w:r w:rsidR="001526ED">
        <w:rPr>
          <w:rFonts w:asciiTheme="minorHAnsi" w:hAnsiTheme="minorHAnsi" w:cstheme="minorHAnsi"/>
          <w:szCs w:val="22"/>
        </w:rPr>
        <w:fldChar w:fldCharType="separate"/>
      </w:r>
      <w:r w:rsidR="001526ED" w:rsidRPr="001526ED">
        <w:rPr>
          <w:rStyle w:val="Hyperlink"/>
          <w:rFonts w:asciiTheme="minorHAnsi" w:hAnsiTheme="minorHAnsi" w:cstheme="minorHAnsi"/>
          <w:szCs w:val="22"/>
        </w:rPr>
        <w:t>Executive Certificate in Business Communication</w:t>
      </w:r>
      <w:r w:rsidR="001526ED">
        <w:rPr>
          <w:rFonts w:asciiTheme="minorHAnsi" w:hAnsiTheme="minorHAnsi" w:cstheme="minorHAnsi"/>
          <w:szCs w:val="22"/>
        </w:rPr>
        <w:fldChar w:fldCharType="end"/>
      </w:r>
      <w:bookmarkEnd w:id="0"/>
      <w:r w:rsidR="00D85F3A" w:rsidRPr="00825CD4">
        <w:rPr>
          <w:rFonts w:asciiTheme="minorHAnsi" w:hAnsiTheme="minorHAnsi" w:cstheme="minorHAnsi"/>
          <w:szCs w:val="22"/>
        </w:rPr>
        <w:t xml:space="preserve"> at the Carey Business School.</w:t>
      </w:r>
      <w:r w:rsidR="00EB4C91" w:rsidRPr="00EB4C91">
        <w:rPr>
          <w:rFonts w:asciiTheme="minorHAnsi" w:hAnsiTheme="minorHAnsi" w:cstheme="minorHAnsi"/>
          <w:szCs w:val="22"/>
          <w:u w:val="single"/>
        </w:rPr>
        <w:t xml:space="preserve"> </w:t>
      </w:r>
    </w:p>
    <w:p w14:paraId="04E7C7A3" w14:textId="77777777" w:rsidR="00A96C9B" w:rsidRDefault="00A96C9B" w:rsidP="00EB4C91">
      <w:pPr>
        <w:spacing w:before="0" w:beforeAutospacing="0" w:after="0" w:afterAutospacing="0"/>
        <w:ind w:left="720"/>
        <w:rPr>
          <w:rFonts w:asciiTheme="minorHAnsi" w:hAnsiTheme="minorHAnsi" w:cstheme="minorHAnsi"/>
          <w:szCs w:val="22"/>
          <w:u w:val="single"/>
        </w:rPr>
      </w:pPr>
    </w:p>
    <w:p w14:paraId="68F451DF" w14:textId="77777777" w:rsidR="00BD79E9" w:rsidRPr="00825CD4" w:rsidRDefault="00BD79E9" w:rsidP="00925785">
      <w:pPr>
        <w:spacing w:before="0" w:beforeAutospacing="0" w:after="0" w:afterAutospacing="0"/>
        <w:ind w:left="720"/>
        <w:rPr>
          <w:rFonts w:asciiTheme="minorHAnsi" w:hAnsiTheme="minorHAnsi" w:cstheme="minorHAnsi"/>
          <w:szCs w:val="22"/>
        </w:rPr>
      </w:pPr>
    </w:p>
    <w:p w14:paraId="60737473" w14:textId="4CE4F918" w:rsidR="00724C93" w:rsidRPr="0042363B" w:rsidRDefault="00E66F52" w:rsidP="004D3846">
      <w:pPr>
        <w:spacing w:before="0" w:beforeAutospacing="0" w:after="0" w:afterAutospacing="0"/>
        <w:outlineLvl w:val="0"/>
        <w:rPr>
          <w:rFonts w:asciiTheme="minorHAnsi" w:hAnsiTheme="minorHAnsi" w:cstheme="minorHAnsi"/>
          <w:szCs w:val="22"/>
        </w:rPr>
      </w:pPr>
      <w:r>
        <w:rPr>
          <w:rFonts w:asciiTheme="majorHAnsi" w:hAnsiTheme="majorHAnsi" w:cstheme="majorHAnsi"/>
          <w:b/>
          <w:szCs w:val="22"/>
        </w:rPr>
        <w:t>NEW DEVELOPMENTS</w:t>
      </w:r>
    </w:p>
    <w:p w14:paraId="255C20CB" w14:textId="3E0EF422" w:rsidR="00724C93" w:rsidRDefault="001526ED" w:rsidP="00724C93">
      <w:pPr>
        <w:spacing w:before="0" w:beforeAutospacing="0" w:after="0" w:afterAutospacing="0"/>
        <w:ind w:left="720"/>
        <w:rPr>
          <w:rFonts w:asciiTheme="minorHAnsi" w:hAnsiTheme="minorHAnsi" w:cstheme="minorHAnsi"/>
          <w:szCs w:val="22"/>
        </w:rPr>
      </w:pPr>
      <w:r w:rsidRPr="00AC30A0">
        <w:rPr>
          <w:rFonts w:asciiTheme="minorHAnsi" w:hAnsiTheme="minorHAnsi" w:cstheme="minorHAnsi"/>
          <w:szCs w:val="22"/>
        </w:rPr>
        <w:t xml:space="preserve">Our Program began reaching out </w:t>
      </w:r>
      <w:r w:rsidR="00035D51" w:rsidRPr="00AC30A0">
        <w:rPr>
          <w:rFonts w:asciiTheme="minorHAnsi" w:hAnsiTheme="minorHAnsi" w:cstheme="minorHAnsi"/>
          <w:szCs w:val="22"/>
        </w:rPr>
        <w:t xml:space="preserve">to </w:t>
      </w:r>
      <w:r w:rsidR="00AC30A0">
        <w:rPr>
          <w:rFonts w:asciiTheme="minorHAnsi" w:hAnsiTheme="minorHAnsi" w:cstheme="minorHAnsi"/>
          <w:szCs w:val="22"/>
        </w:rPr>
        <w:t xml:space="preserve">remind </w:t>
      </w:r>
      <w:r w:rsidR="00035D51" w:rsidRPr="00AC30A0">
        <w:rPr>
          <w:rFonts w:asciiTheme="minorHAnsi" w:hAnsiTheme="minorHAnsi" w:cstheme="minorHAnsi"/>
          <w:szCs w:val="22"/>
        </w:rPr>
        <w:t xml:space="preserve">PIs and study teams </w:t>
      </w:r>
      <w:r w:rsidR="00AC30A0" w:rsidRPr="00AC30A0">
        <w:rPr>
          <w:rFonts w:asciiTheme="minorHAnsi" w:hAnsiTheme="minorHAnsi" w:cstheme="minorHAnsi"/>
          <w:szCs w:val="22"/>
        </w:rPr>
        <w:t>to</w:t>
      </w:r>
      <w:r w:rsidR="00AC30A0" w:rsidRPr="00AC30A0">
        <w:rPr>
          <w:rFonts w:asciiTheme="minorHAnsi" w:hAnsiTheme="minorHAnsi" w:cstheme="minorHAnsi"/>
          <w:szCs w:val="22"/>
        </w:rPr>
        <w:t xml:space="preserve"> </w:t>
      </w:r>
      <w:r w:rsidRPr="00AC30A0">
        <w:rPr>
          <w:rFonts w:asciiTheme="minorHAnsi" w:hAnsiTheme="minorHAnsi" w:cstheme="minorHAnsi"/>
          <w:szCs w:val="22"/>
        </w:rPr>
        <w:t xml:space="preserve">prospectively </w:t>
      </w:r>
      <w:r w:rsidR="00AC30A0">
        <w:rPr>
          <w:rFonts w:asciiTheme="minorHAnsi" w:hAnsiTheme="minorHAnsi" w:cstheme="minorHAnsi"/>
          <w:szCs w:val="22"/>
        </w:rPr>
        <w:t>perform</w:t>
      </w:r>
      <w:bookmarkStart w:id="1" w:name="_GoBack"/>
      <w:bookmarkEnd w:id="1"/>
      <w:r w:rsidR="007A6E5E" w:rsidRPr="00AC30A0">
        <w:rPr>
          <w:rFonts w:asciiTheme="minorHAnsi" w:hAnsiTheme="minorHAnsi" w:cstheme="minorHAnsi"/>
          <w:szCs w:val="22"/>
        </w:rPr>
        <w:t xml:space="preserve"> annual verifications and update</w:t>
      </w:r>
      <w:r w:rsidR="00035D51" w:rsidRPr="00AC30A0">
        <w:rPr>
          <w:rFonts w:asciiTheme="minorHAnsi" w:hAnsiTheme="minorHAnsi" w:cstheme="minorHAnsi"/>
          <w:szCs w:val="22"/>
        </w:rPr>
        <w:t xml:space="preserve"> anticipated </w:t>
      </w:r>
      <w:r w:rsidR="007A6E5E" w:rsidRPr="00AC30A0">
        <w:rPr>
          <w:rFonts w:asciiTheme="minorHAnsi" w:hAnsiTheme="minorHAnsi" w:cstheme="minorHAnsi"/>
          <w:szCs w:val="22"/>
        </w:rPr>
        <w:t>dates to prevent them from becoming problem records</w:t>
      </w:r>
      <w:r w:rsidR="00AC30A0">
        <w:rPr>
          <w:rFonts w:asciiTheme="minorHAnsi" w:hAnsiTheme="minorHAnsi" w:cstheme="minorHAnsi"/>
          <w:szCs w:val="22"/>
        </w:rPr>
        <w:t xml:space="preserve">. </w:t>
      </w:r>
      <w:r w:rsidR="00035D51" w:rsidRPr="00AC30A0">
        <w:rPr>
          <w:rFonts w:asciiTheme="minorHAnsi" w:hAnsiTheme="minorHAnsi" w:cstheme="minorHAnsi"/>
          <w:szCs w:val="22"/>
        </w:rPr>
        <w:t xml:space="preserve">This </w:t>
      </w:r>
      <w:r w:rsidR="001D4704" w:rsidRPr="00AC30A0">
        <w:rPr>
          <w:rFonts w:asciiTheme="minorHAnsi" w:hAnsiTheme="minorHAnsi" w:cstheme="minorHAnsi"/>
          <w:szCs w:val="22"/>
        </w:rPr>
        <w:t xml:space="preserve">helps us to </w:t>
      </w:r>
      <w:r w:rsidRPr="00AC30A0">
        <w:rPr>
          <w:rFonts w:asciiTheme="minorHAnsi" w:hAnsiTheme="minorHAnsi" w:cstheme="minorHAnsi"/>
          <w:szCs w:val="22"/>
        </w:rPr>
        <w:t>update records</w:t>
      </w:r>
      <w:r w:rsidR="001D4704" w:rsidRPr="00AC30A0">
        <w:rPr>
          <w:rFonts w:asciiTheme="minorHAnsi" w:hAnsiTheme="minorHAnsi" w:cstheme="minorHAnsi"/>
          <w:szCs w:val="22"/>
        </w:rPr>
        <w:t xml:space="preserve"> early enough to avoid having </w:t>
      </w:r>
      <w:r w:rsidRPr="00AC30A0">
        <w:rPr>
          <w:rFonts w:asciiTheme="minorHAnsi" w:hAnsiTheme="minorHAnsi" w:cstheme="minorHAnsi"/>
          <w:szCs w:val="22"/>
        </w:rPr>
        <w:t>problem records</w:t>
      </w:r>
      <w:r w:rsidR="001D4704" w:rsidRPr="00AC30A0">
        <w:rPr>
          <w:rFonts w:asciiTheme="minorHAnsi" w:hAnsiTheme="minorHAnsi" w:cstheme="minorHAnsi"/>
          <w:szCs w:val="22"/>
        </w:rPr>
        <w:t>.</w:t>
      </w:r>
    </w:p>
    <w:p w14:paraId="211C49A9" w14:textId="77777777" w:rsidR="00E75DFF" w:rsidRPr="0042363B" w:rsidRDefault="00E75DFF" w:rsidP="00724C93">
      <w:pPr>
        <w:spacing w:before="0" w:beforeAutospacing="0" w:after="0" w:afterAutospacing="0"/>
        <w:ind w:left="720"/>
        <w:rPr>
          <w:rFonts w:asciiTheme="minorHAnsi" w:hAnsiTheme="minorHAnsi" w:cstheme="minorHAnsi"/>
          <w:szCs w:val="22"/>
        </w:rPr>
      </w:pPr>
    </w:p>
    <w:p w14:paraId="5A62DF37" w14:textId="3183D4E9" w:rsidR="00336AA4" w:rsidRPr="0042363B" w:rsidRDefault="001D4704" w:rsidP="00724C93">
      <w:pPr>
        <w:spacing w:before="0" w:beforeAutospacing="0" w:after="0" w:afterAutospacing="0"/>
        <w:ind w:left="720"/>
        <w:rPr>
          <w:rFonts w:asciiTheme="minorHAnsi" w:hAnsiTheme="minorHAnsi" w:cstheme="minorHAnsi"/>
          <w:szCs w:val="22"/>
        </w:rPr>
      </w:pPr>
      <w:r w:rsidRPr="0042363B">
        <w:rPr>
          <w:rFonts w:asciiTheme="minorHAnsi" w:hAnsiTheme="minorHAnsi" w:cstheme="minorHAnsi"/>
          <w:szCs w:val="22"/>
        </w:rPr>
        <w:t xml:space="preserve">Our team has also worked with the </w:t>
      </w:r>
      <w:r w:rsidR="00336AA4" w:rsidRPr="0042363B">
        <w:rPr>
          <w:rFonts w:asciiTheme="minorHAnsi" w:hAnsiTheme="minorHAnsi" w:cstheme="minorHAnsi"/>
          <w:szCs w:val="22"/>
        </w:rPr>
        <w:t xml:space="preserve">IRB </w:t>
      </w:r>
      <w:r w:rsidRPr="0042363B">
        <w:rPr>
          <w:rFonts w:asciiTheme="minorHAnsi" w:hAnsiTheme="minorHAnsi" w:cstheme="minorHAnsi"/>
          <w:szCs w:val="22"/>
        </w:rPr>
        <w:t xml:space="preserve">to </w:t>
      </w:r>
      <w:r w:rsidR="001526ED">
        <w:rPr>
          <w:rFonts w:asciiTheme="minorHAnsi" w:hAnsiTheme="minorHAnsi" w:cstheme="minorHAnsi"/>
          <w:szCs w:val="22"/>
        </w:rPr>
        <w:t>identify studies with NIH grant funding by entering either the grant funding number or the Institute Proposal Number into the IRB application</w:t>
      </w:r>
      <w:r w:rsidR="00DA2B00">
        <w:rPr>
          <w:rFonts w:asciiTheme="minorHAnsi" w:hAnsiTheme="minorHAnsi" w:cstheme="minorHAnsi"/>
          <w:szCs w:val="22"/>
        </w:rPr>
        <w:t>.</w:t>
      </w:r>
    </w:p>
    <w:p w14:paraId="55AB9EE7" w14:textId="77777777" w:rsidR="00AC1841" w:rsidRDefault="00AC1841" w:rsidP="00DA2B00">
      <w:pPr>
        <w:spacing w:before="0" w:beforeAutospacing="0" w:after="0" w:afterAutospacing="0"/>
        <w:outlineLvl w:val="0"/>
        <w:rPr>
          <w:rFonts w:asciiTheme="majorHAnsi" w:hAnsiTheme="majorHAnsi" w:cstheme="majorHAnsi"/>
          <w:b/>
          <w:szCs w:val="22"/>
        </w:rPr>
      </w:pPr>
    </w:p>
    <w:p w14:paraId="3955F0A8" w14:textId="77777777" w:rsidR="003A78F9" w:rsidRPr="003A78F9" w:rsidRDefault="002E1B6B" w:rsidP="00DA2B00">
      <w:pPr>
        <w:spacing w:before="0" w:beforeAutospacing="0" w:after="0" w:afterAutospacing="0"/>
        <w:outlineLvl w:val="0"/>
        <w:rPr>
          <w:rFonts w:asciiTheme="majorHAnsi" w:hAnsiTheme="majorHAnsi" w:cstheme="majorHAnsi"/>
          <w:b/>
          <w:szCs w:val="22"/>
        </w:rPr>
      </w:pPr>
      <w:r w:rsidRPr="003A78F9">
        <w:rPr>
          <w:rFonts w:asciiTheme="majorHAnsi" w:hAnsiTheme="majorHAnsi" w:cstheme="majorHAnsi"/>
          <w:b/>
          <w:szCs w:val="22"/>
        </w:rPr>
        <w:t>BEST WAY TO WORK WITH PROGRAM</w:t>
      </w:r>
    </w:p>
    <w:p w14:paraId="30FE3273" w14:textId="77777777" w:rsidR="00DA2B00" w:rsidRPr="003E0DF1" w:rsidRDefault="00D85F3A" w:rsidP="003E0DF1">
      <w:pPr>
        <w:pStyle w:val="ListParagraph"/>
        <w:numPr>
          <w:ilvl w:val="0"/>
          <w:numId w:val="6"/>
        </w:numPr>
        <w:spacing w:before="0" w:beforeAutospacing="0" w:after="0" w:afterAutospacing="0"/>
        <w:rPr>
          <w:rFonts w:asciiTheme="minorHAnsi" w:hAnsiTheme="minorHAnsi" w:cstheme="minorHAnsi"/>
          <w:color w:val="0563C1" w:themeColor="hyperlink"/>
          <w:szCs w:val="22"/>
          <w:u w:val="single"/>
        </w:rPr>
      </w:pPr>
      <w:r w:rsidRPr="003E0DF1">
        <w:rPr>
          <w:rFonts w:asciiTheme="minorHAnsi" w:hAnsiTheme="minorHAnsi" w:cstheme="minorHAnsi"/>
          <w:szCs w:val="22"/>
        </w:rPr>
        <w:t xml:space="preserve">Preferable method of contact is email at </w:t>
      </w:r>
      <w:hyperlink r:id="rId12" w:history="1">
        <w:r w:rsidRPr="003E0DF1">
          <w:rPr>
            <w:rStyle w:val="Hyperlink"/>
            <w:rFonts w:asciiTheme="minorHAnsi" w:hAnsiTheme="minorHAnsi" w:cstheme="minorHAnsi"/>
            <w:szCs w:val="22"/>
          </w:rPr>
          <w:t>registerclinicaltrials@jhmi.edu</w:t>
        </w:r>
      </w:hyperlink>
    </w:p>
    <w:p w14:paraId="22E24251" w14:textId="77777777" w:rsidR="00DA2B00" w:rsidRPr="003E0DF1" w:rsidRDefault="00DA2B00" w:rsidP="003E0DF1">
      <w:pPr>
        <w:pStyle w:val="ListParagraph"/>
        <w:numPr>
          <w:ilvl w:val="0"/>
          <w:numId w:val="6"/>
        </w:numPr>
        <w:spacing w:before="0" w:beforeAutospacing="0" w:after="0" w:afterAutospacing="0"/>
        <w:rPr>
          <w:rFonts w:asciiTheme="minorHAnsi" w:hAnsiTheme="minorHAnsi" w:cstheme="minorHAnsi"/>
          <w:szCs w:val="22"/>
        </w:rPr>
      </w:pPr>
      <w:r w:rsidRPr="003E0DF1">
        <w:rPr>
          <w:rFonts w:asciiTheme="minorHAnsi" w:hAnsiTheme="minorHAnsi" w:cstheme="minorHAnsi"/>
          <w:szCs w:val="22"/>
        </w:rPr>
        <w:t>You can also reach us by phone at 410-550-4145/410-550-6484</w:t>
      </w:r>
    </w:p>
    <w:p w14:paraId="5D16DD6A" w14:textId="4C8B9253" w:rsidR="00D85F3A" w:rsidRPr="003E0DF1" w:rsidRDefault="00D85F3A" w:rsidP="003E0DF1">
      <w:pPr>
        <w:pStyle w:val="ListParagraph"/>
        <w:numPr>
          <w:ilvl w:val="0"/>
          <w:numId w:val="6"/>
        </w:numPr>
        <w:spacing w:before="0" w:beforeAutospacing="0" w:after="0" w:afterAutospacing="0"/>
        <w:rPr>
          <w:rFonts w:asciiTheme="minorHAnsi" w:hAnsiTheme="minorHAnsi" w:cstheme="minorHAnsi"/>
          <w:szCs w:val="22"/>
        </w:rPr>
      </w:pPr>
      <w:r w:rsidRPr="003E0DF1">
        <w:rPr>
          <w:rFonts w:asciiTheme="minorHAnsi" w:hAnsiTheme="minorHAnsi" w:cstheme="minorHAnsi"/>
          <w:szCs w:val="22"/>
        </w:rPr>
        <w:t xml:space="preserve">Website: </w:t>
      </w:r>
      <w:hyperlink r:id="rId13" w:history="1">
        <w:r w:rsidRPr="003E0DF1">
          <w:rPr>
            <w:rStyle w:val="Hyperlink"/>
            <w:rFonts w:asciiTheme="minorHAnsi" w:hAnsiTheme="minorHAnsi" w:cstheme="minorHAnsi"/>
            <w:szCs w:val="22"/>
          </w:rPr>
          <w:t>https://ictr.johnshopkins.edu/clinicaltrials-gov</w:t>
        </w:r>
      </w:hyperlink>
      <w:r w:rsidR="001F4E98">
        <w:rPr>
          <w:rFonts w:asciiTheme="minorHAnsi" w:hAnsiTheme="minorHAnsi" w:cstheme="minorHAnsi"/>
          <w:szCs w:val="22"/>
        </w:rPr>
        <w:t>. Here, you can also find some educa</w:t>
      </w:r>
      <w:r w:rsidR="00115862">
        <w:rPr>
          <w:rFonts w:asciiTheme="minorHAnsi" w:hAnsiTheme="minorHAnsi" w:cstheme="minorHAnsi"/>
          <w:szCs w:val="22"/>
        </w:rPr>
        <w:t>tional materials including</w:t>
      </w:r>
      <w:r w:rsidR="001F4E98">
        <w:rPr>
          <w:rFonts w:asciiTheme="minorHAnsi" w:hAnsiTheme="minorHAnsi" w:cstheme="minorHAnsi"/>
          <w:szCs w:val="22"/>
        </w:rPr>
        <w:t xml:space="preserve"> tut</w:t>
      </w:r>
      <w:r w:rsidR="00C53D92">
        <w:rPr>
          <w:rFonts w:asciiTheme="minorHAnsi" w:hAnsiTheme="minorHAnsi" w:cstheme="minorHAnsi"/>
          <w:szCs w:val="22"/>
        </w:rPr>
        <w:t>orial video</w:t>
      </w:r>
      <w:r w:rsidR="00115862">
        <w:rPr>
          <w:rFonts w:asciiTheme="minorHAnsi" w:hAnsiTheme="minorHAnsi" w:cstheme="minorHAnsi"/>
          <w:szCs w:val="22"/>
        </w:rPr>
        <w:t>s</w:t>
      </w:r>
      <w:r w:rsidR="001F4E98">
        <w:rPr>
          <w:rFonts w:asciiTheme="minorHAnsi" w:hAnsiTheme="minorHAnsi" w:cstheme="minorHAnsi"/>
          <w:szCs w:val="22"/>
        </w:rPr>
        <w:t xml:space="preserve"> on trial registration and results entry. </w:t>
      </w:r>
    </w:p>
    <w:p w14:paraId="513909FE" w14:textId="77777777" w:rsidR="001B34E1" w:rsidRPr="003E0DF1" w:rsidRDefault="00D85F3A" w:rsidP="003E0DF1">
      <w:pPr>
        <w:pStyle w:val="ListParagraph"/>
        <w:numPr>
          <w:ilvl w:val="0"/>
          <w:numId w:val="6"/>
        </w:numPr>
        <w:spacing w:before="0" w:beforeAutospacing="0" w:after="0" w:afterAutospacing="0"/>
        <w:rPr>
          <w:rFonts w:asciiTheme="minorHAnsi" w:hAnsiTheme="minorHAnsi" w:cstheme="minorHAnsi"/>
          <w:szCs w:val="22"/>
        </w:rPr>
      </w:pPr>
      <w:r w:rsidRPr="003E0DF1">
        <w:rPr>
          <w:rFonts w:asciiTheme="minorHAnsi" w:hAnsiTheme="minorHAnsi" w:cstheme="minorHAnsi"/>
          <w:szCs w:val="22"/>
        </w:rPr>
        <w:t>You</w:t>
      </w:r>
      <w:r w:rsidR="00DA2B00" w:rsidRPr="003E0DF1">
        <w:rPr>
          <w:rFonts w:asciiTheme="minorHAnsi" w:hAnsiTheme="minorHAnsi" w:cstheme="minorHAnsi"/>
          <w:szCs w:val="22"/>
        </w:rPr>
        <w:t xml:space="preserve"> </w:t>
      </w:r>
      <w:r w:rsidR="003E0DF1" w:rsidRPr="003E0DF1">
        <w:rPr>
          <w:rFonts w:asciiTheme="minorHAnsi" w:hAnsiTheme="minorHAnsi" w:cstheme="minorHAnsi"/>
          <w:szCs w:val="22"/>
        </w:rPr>
        <w:t xml:space="preserve">can </w:t>
      </w:r>
      <w:r w:rsidR="00DA2B00" w:rsidRPr="003E0DF1">
        <w:rPr>
          <w:rFonts w:asciiTheme="minorHAnsi" w:hAnsiTheme="minorHAnsi" w:cstheme="minorHAnsi"/>
          <w:szCs w:val="22"/>
        </w:rPr>
        <w:t>request a new account via an</w:t>
      </w:r>
      <w:r w:rsidRPr="003E0DF1">
        <w:rPr>
          <w:rFonts w:asciiTheme="minorHAnsi" w:hAnsiTheme="minorHAnsi" w:cstheme="minorHAnsi"/>
          <w:szCs w:val="22"/>
        </w:rPr>
        <w:t xml:space="preserve"> </w:t>
      </w:r>
      <w:hyperlink r:id="rId14" w:history="1">
        <w:r w:rsidRPr="003E0DF1">
          <w:rPr>
            <w:rStyle w:val="Hyperlink"/>
            <w:rFonts w:asciiTheme="minorHAnsi" w:hAnsiTheme="minorHAnsi" w:cstheme="minorHAnsi"/>
            <w:szCs w:val="22"/>
          </w:rPr>
          <w:t>ICTR Connection Request</w:t>
        </w:r>
      </w:hyperlink>
      <w:r w:rsidR="003A78F9" w:rsidRPr="003E0DF1">
        <w:rPr>
          <w:rFonts w:asciiTheme="minorHAnsi" w:hAnsiTheme="minorHAnsi" w:cstheme="minorHAnsi"/>
          <w:szCs w:val="22"/>
        </w:rPr>
        <w:t>.</w:t>
      </w:r>
    </w:p>
    <w:sectPr w:rsidR="001B34E1" w:rsidRPr="003E0DF1" w:rsidSect="002F7FAE">
      <w:footerReference w:type="default" r:id="rId15"/>
      <w:headerReference w:type="first" r:id="rId16"/>
      <w:footerReference w:type="first" r:id="rId17"/>
      <w:pgSz w:w="12240" w:h="15840"/>
      <w:pgMar w:top="117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57899" w14:textId="77777777" w:rsidR="005825A8" w:rsidRDefault="005825A8" w:rsidP="00080655">
      <w:pPr>
        <w:spacing w:after="0"/>
      </w:pPr>
      <w:r>
        <w:separator/>
      </w:r>
    </w:p>
  </w:endnote>
  <w:endnote w:type="continuationSeparator" w:id="0">
    <w:p w14:paraId="378FF5F1" w14:textId="77777777" w:rsidR="005825A8" w:rsidRDefault="005825A8" w:rsidP="000806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70E59" w14:textId="3A129D4E" w:rsidR="0087142C" w:rsidRPr="00724C93" w:rsidRDefault="002B2E31" w:rsidP="0087142C">
    <w:pPr>
      <w:pStyle w:val="Footer"/>
      <w:jc w:val="center"/>
    </w:pPr>
    <w:r w:rsidRPr="00724C93">
      <w:ptab w:relativeTo="margin" w:alignment="center" w:leader="none"/>
    </w:r>
    <w:r w:rsidR="00724C93" w:rsidRPr="00724C93">
      <w:rPr>
        <w:rFonts w:ascii="Calibri Light" w:hAnsi="Calibri Light" w:cs="Calibri Light"/>
        <w:sz w:val="20"/>
        <w:szCs w:val="28"/>
      </w:rPr>
      <w:t>ClinicalTrials.gov Program 20</w:t>
    </w:r>
    <w:r w:rsidR="001526ED">
      <w:rPr>
        <w:rFonts w:ascii="Calibri Light" w:hAnsi="Calibri Light" w:cs="Calibri Light"/>
        <w:sz w:val="20"/>
        <w:szCs w:val="28"/>
      </w:rPr>
      <w:t>20</w:t>
    </w:r>
    <w:r w:rsidR="00724C93" w:rsidRPr="00724C93">
      <w:rPr>
        <w:rFonts w:ascii="Calibri Light" w:hAnsi="Calibri Light" w:cs="Calibri Light"/>
        <w:sz w:val="20"/>
        <w:szCs w:val="28"/>
      </w:rPr>
      <w:t xml:space="preserve"> Annual Update</w:t>
    </w:r>
    <w:r w:rsidRPr="00724C93">
      <w:ptab w:relativeTo="margin" w:alignment="right" w:leader="none"/>
    </w:r>
    <w:r w:rsidR="00724C93" w:rsidRPr="00724C93">
      <w:rPr>
        <w:rFonts w:asciiTheme="majorHAnsi" w:hAnsiTheme="majorHAnsi" w:cstheme="majorHAnsi"/>
        <w:sz w:val="20"/>
      </w:rPr>
      <w:fldChar w:fldCharType="begin"/>
    </w:r>
    <w:r w:rsidR="00724C93" w:rsidRPr="00724C93">
      <w:rPr>
        <w:rFonts w:asciiTheme="majorHAnsi" w:hAnsiTheme="majorHAnsi" w:cstheme="majorHAnsi"/>
        <w:sz w:val="20"/>
      </w:rPr>
      <w:instrText xml:space="preserve"> PAGE   \* MERGEFORMAT </w:instrText>
    </w:r>
    <w:r w:rsidR="00724C93" w:rsidRPr="00724C93">
      <w:rPr>
        <w:rFonts w:asciiTheme="majorHAnsi" w:hAnsiTheme="majorHAnsi" w:cstheme="majorHAnsi"/>
        <w:sz w:val="20"/>
      </w:rPr>
      <w:fldChar w:fldCharType="separate"/>
    </w:r>
    <w:r w:rsidR="00887930">
      <w:rPr>
        <w:rFonts w:asciiTheme="majorHAnsi" w:hAnsiTheme="majorHAnsi" w:cstheme="majorHAnsi"/>
        <w:noProof/>
        <w:sz w:val="20"/>
      </w:rPr>
      <w:t>3</w:t>
    </w:r>
    <w:r w:rsidR="00724C93" w:rsidRPr="00724C93">
      <w:rPr>
        <w:rFonts w:asciiTheme="majorHAnsi" w:hAnsiTheme="majorHAnsi" w:cstheme="majorHAnsi"/>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D1888" w14:textId="7D658193" w:rsidR="003A78F9" w:rsidRPr="00724C93" w:rsidRDefault="002B2E31" w:rsidP="003A78F9">
    <w:pPr>
      <w:pStyle w:val="Footer"/>
      <w:spacing w:after="100"/>
      <w:jc w:val="center"/>
      <w:rPr>
        <w:rFonts w:ascii="Gill Sans MT" w:hAnsi="Gill Sans MT"/>
        <w:color w:val="002D72"/>
        <w:sz w:val="14"/>
      </w:rPr>
    </w:pPr>
    <w:r w:rsidRPr="00724C93">
      <w:rPr>
        <w:rFonts w:ascii="Gill Sans MT" w:hAnsi="Gill Sans MT"/>
        <w:color w:val="002D72"/>
        <w:sz w:val="14"/>
      </w:rPr>
      <w:ptab w:relativeTo="margin" w:alignment="center" w:leader="none"/>
    </w:r>
    <w:r w:rsidR="00D611BF">
      <w:rPr>
        <w:rFonts w:ascii="Calibri Light" w:hAnsi="Calibri Light" w:cs="Calibri Light"/>
        <w:sz w:val="20"/>
        <w:szCs w:val="28"/>
      </w:rPr>
      <w:t>ClinicalTrials.gov Program 2020</w:t>
    </w:r>
    <w:r w:rsidR="00724C93" w:rsidRPr="00724C93">
      <w:rPr>
        <w:rFonts w:ascii="Calibri Light" w:hAnsi="Calibri Light" w:cs="Calibri Light"/>
        <w:sz w:val="20"/>
        <w:szCs w:val="28"/>
      </w:rPr>
      <w:t xml:space="preserve"> Annual Update</w:t>
    </w:r>
    <w:r w:rsidRPr="00724C93">
      <w:rPr>
        <w:rFonts w:ascii="Gill Sans MT" w:hAnsi="Gill Sans MT"/>
        <w:color w:val="002D72"/>
        <w:sz w:val="14"/>
      </w:rPr>
      <w:ptab w:relativeTo="margin" w:alignment="right" w:leader="none"/>
    </w:r>
    <w:r w:rsidR="00724C93" w:rsidRPr="00724C93">
      <w:rPr>
        <w:rFonts w:ascii="Gill Sans MT" w:hAnsi="Gill Sans MT"/>
        <w:color w:val="002D72"/>
        <w:sz w:val="14"/>
      </w:rPr>
      <w:fldChar w:fldCharType="begin"/>
    </w:r>
    <w:r w:rsidR="00724C93" w:rsidRPr="00724C93">
      <w:rPr>
        <w:rFonts w:ascii="Gill Sans MT" w:hAnsi="Gill Sans MT"/>
        <w:color w:val="002D72"/>
        <w:sz w:val="14"/>
      </w:rPr>
      <w:instrText xml:space="preserve"> PAGE   \* MERGEFORMAT </w:instrText>
    </w:r>
    <w:r w:rsidR="00724C93" w:rsidRPr="00724C93">
      <w:rPr>
        <w:rFonts w:ascii="Gill Sans MT" w:hAnsi="Gill Sans MT"/>
        <w:color w:val="002D72"/>
        <w:sz w:val="14"/>
      </w:rPr>
      <w:fldChar w:fldCharType="separate"/>
    </w:r>
    <w:r w:rsidR="00887930">
      <w:rPr>
        <w:rFonts w:ascii="Gill Sans MT" w:hAnsi="Gill Sans MT"/>
        <w:noProof/>
        <w:color w:val="002D72"/>
        <w:sz w:val="14"/>
      </w:rPr>
      <w:t>1</w:t>
    </w:r>
    <w:r w:rsidR="00724C93" w:rsidRPr="00724C93">
      <w:rPr>
        <w:rFonts w:ascii="Gill Sans MT" w:hAnsi="Gill Sans MT"/>
        <w:noProof/>
        <w:color w:val="002D72"/>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130FD" w14:textId="77777777" w:rsidR="005825A8" w:rsidRDefault="005825A8" w:rsidP="00080655">
      <w:pPr>
        <w:spacing w:after="0"/>
      </w:pPr>
      <w:r>
        <w:separator/>
      </w:r>
    </w:p>
  </w:footnote>
  <w:footnote w:type="continuationSeparator" w:id="0">
    <w:p w14:paraId="594E4AE9" w14:textId="77777777" w:rsidR="005825A8" w:rsidRDefault="005825A8" w:rsidP="0008065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C765E" w14:textId="77777777" w:rsidR="00080655" w:rsidRDefault="00080655" w:rsidP="00080655">
    <w:pPr>
      <w:pStyle w:val="Header"/>
      <w:jc w:val="center"/>
    </w:pPr>
    <w:r>
      <w:rPr>
        <w:noProof/>
      </w:rPr>
      <w:drawing>
        <wp:inline distT="0" distB="0" distL="0" distR="0" wp14:anchorId="75E864AA" wp14:editId="6F6ACC3C">
          <wp:extent cx="2281055" cy="16120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nslational-research.logo.small.vertical.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0514" cy="16258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D4587"/>
    <w:multiLevelType w:val="hybridMultilevel"/>
    <w:tmpl w:val="171274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CD736DB"/>
    <w:multiLevelType w:val="hybridMultilevel"/>
    <w:tmpl w:val="17BE5602"/>
    <w:lvl w:ilvl="0" w:tplc="E06C502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361FCE"/>
    <w:multiLevelType w:val="hybridMultilevel"/>
    <w:tmpl w:val="C37ACB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F534D3E"/>
    <w:multiLevelType w:val="hybridMultilevel"/>
    <w:tmpl w:val="28F8FB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E73C10"/>
    <w:multiLevelType w:val="hybridMultilevel"/>
    <w:tmpl w:val="8A2C5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2300BDB"/>
    <w:multiLevelType w:val="hybridMultilevel"/>
    <w:tmpl w:val="DDB296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5AE6263"/>
    <w:multiLevelType w:val="hybridMultilevel"/>
    <w:tmpl w:val="68AC15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8F9"/>
    <w:rsid w:val="00035D51"/>
    <w:rsid w:val="00052100"/>
    <w:rsid w:val="000559E0"/>
    <w:rsid w:val="00080655"/>
    <w:rsid w:val="000936F0"/>
    <w:rsid w:val="000C26BA"/>
    <w:rsid w:val="00115862"/>
    <w:rsid w:val="001268E5"/>
    <w:rsid w:val="0014480A"/>
    <w:rsid w:val="00152472"/>
    <w:rsid w:val="001526ED"/>
    <w:rsid w:val="00171C2B"/>
    <w:rsid w:val="00196A64"/>
    <w:rsid w:val="001A6F1F"/>
    <w:rsid w:val="001B34E1"/>
    <w:rsid w:val="001B5753"/>
    <w:rsid w:val="001C0863"/>
    <w:rsid w:val="001C703C"/>
    <w:rsid w:val="001D4704"/>
    <w:rsid w:val="001D7163"/>
    <w:rsid w:val="001F0CD3"/>
    <w:rsid w:val="001F4E98"/>
    <w:rsid w:val="00242A19"/>
    <w:rsid w:val="002B2E31"/>
    <w:rsid w:val="002B32B8"/>
    <w:rsid w:val="002D290B"/>
    <w:rsid w:val="002E1B6B"/>
    <w:rsid w:val="002E6DCD"/>
    <w:rsid w:val="002F7FAE"/>
    <w:rsid w:val="00335DCD"/>
    <w:rsid w:val="00336AA4"/>
    <w:rsid w:val="00367508"/>
    <w:rsid w:val="0037180B"/>
    <w:rsid w:val="00376A12"/>
    <w:rsid w:val="00382CA3"/>
    <w:rsid w:val="003A78F9"/>
    <w:rsid w:val="003E0DF1"/>
    <w:rsid w:val="00402DB7"/>
    <w:rsid w:val="0042363B"/>
    <w:rsid w:val="00455BEF"/>
    <w:rsid w:val="0047382E"/>
    <w:rsid w:val="00480B93"/>
    <w:rsid w:val="00484485"/>
    <w:rsid w:val="004973EA"/>
    <w:rsid w:val="004D3846"/>
    <w:rsid w:val="004F234C"/>
    <w:rsid w:val="005431DC"/>
    <w:rsid w:val="00544C61"/>
    <w:rsid w:val="005459F9"/>
    <w:rsid w:val="005825A8"/>
    <w:rsid w:val="005C6564"/>
    <w:rsid w:val="005F2956"/>
    <w:rsid w:val="0060566E"/>
    <w:rsid w:val="0061206D"/>
    <w:rsid w:val="00651513"/>
    <w:rsid w:val="00657FE7"/>
    <w:rsid w:val="006819F7"/>
    <w:rsid w:val="006C4221"/>
    <w:rsid w:val="00724C93"/>
    <w:rsid w:val="00737566"/>
    <w:rsid w:val="007614CF"/>
    <w:rsid w:val="007A15A0"/>
    <w:rsid w:val="007A6E5E"/>
    <w:rsid w:val="00801909"/>
    <w:rsid w:val="00825CD4"/>
    <w:rsid w:val="00831881"/>
    <w:rsid w:val="00865B6D"/>
    <w:rsid w:val="0087142C"/>
    <w:rsid w:val="00887930"/>
    <w:rsid w:val="008B5264"/>
    <w:rsid w:val="00901180"/>
    <w:rsid w:val="00925785"/>
    <w:rsid w:val="00965A39"/>
    <w:rsid w:val="00991060"/>
    <w:rsid w:val="009A4536"/>
    <w:rsid w:val="009B6FB7"/>
    <w:rsid w:val="00A13AC0"/>
    <w:rsid w:val="00A948B2"/>
    <w:rsid w:val="00A96C9B"/>
    <w:rsid w:val="00AB3670"/>
    <w:rsid w:val="00AC1841"/>
    <w:rsid w:val="00AC30A0"/>
    <w:rsid w:val="00B13341"/>
    <w:rsid w:val="00B363E2"/>
    <w:rsid w:val="00BA55CA"/>
    <w:rsid w:val="00BD66E9"/>
    <w:rsid w:val="00BD79E9"/>
    <w:rsid w:val="00BE38DB"/>
    <w:rsid w:val="00BE461F"/>
    <w:rsid w:val="00C049F9"/>
    <w:rsid w:val="00C53D92"/>
    <w:rsid w:val="00C94EC3"/>
    <w:rsid w:val="00CB29B6"/>
    <w:rsid w:val="00CB29B9"/>
    <w:rsid w:val="00CF1EB1"/>
    <w:rsid w:val="00D15A8E"/>
    <w:rsid w:val="00D4628A"/>
    <w:rsid w:val="00D549B3"/>
    <w:rsid w:val="00D611BF"/>
    <w:rsid w:val="00D76FA1"/>
    <w:rsid w:val="00D85F3A"/>
    <w:rsid w:val="00D95BD0"/>
    <w:rsid w:val="00D96AA2"/>
    <w:rsid w:val="00D976F2"/>
    <w:rsid w:val="00DA2B00"/>
    <w:rsid w:val="00DA759A"/>
    <w:rsid w:val="00DB2E73"/>
    <w:rsid w:val="00DC4F43"/>
    <w:rsid w:val="00DF6FCA"/>
    <w:rsid w:val="00E01546"/>
    <w:rsid w:val="00E10DE6"/>
    <w:rsid w:val="00E14FAB"/>
    <w:rsid w:val="00E50063"/>
    <w:rsid w:val="00E66F52"/>
    <w:rsid w:val="00E75DFF"/>
    <w:rsid w:val="00E94599"/>
    <w:rsid w:val="00EA3435"/>
    <w:rsid w:val="00EB4C91"/>
    <w:rsid w:val="00ED4CE1"/>
    <w:rsid w:val="00F14660"/>
    <w:rsid w:val="00F41E4F"/>
    <w:rsid w:val="00FA1319"/>
    <w:rsid w:val="00FB20F4"/>
    <w:rsid w:val="00FB6450"/>
    <w:rsid w:val="00FC3E34"/>
    <w:rsid w:val="00FC78C7"/>
    <w:rsid w:val="00FF5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AF55D9D"/>
  <w15:chartTrackingRefBased/>
  <w15:docId w15:val="{1E59F089-A30C-40D4-A98B-00D4729C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78F9"/>
    <w:pPr>
      <w:spacing w:before="100" w:beforeAutospacing="1" w:after="100" w:afterAutospacing="1"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0655"/>
    <w:pPr>
      <w:tabs>
        <w:tab w:val="center" w:pos="4680"/>
        <w:tab w:val="right" w:pos="9360"/>
      </w:tabs>
      <w:spacing w:after="0"/>
    </w:pPr>
  </w:style>
  <w:style w:type="character" w:customStyle="1" w:styleId="HeaderChar">
    <w:name w:val="Header Char"/>
    <w:basedOn w:val="DefaultParagraphFont"/>
    <w:link w:val="Header"/>
    <w:uiPriority w:val="99"/>
    <w:rsid w:val="00080655"/>
  </w:style>
  <w:style w:type="paragraph" w:styleId="Footer">
    <w:name w:val="footer"/>
    <w:basedOn w:val="Normal"/>
    <w:link w:val="FooterChar"/>
    <w:uiPriority w:val="99"/>
    <w:unhideWhenUsed/>
    <w:rsid w:val="00080655"/>
    <w:pPr>
      <w:tabs>
        <w:tab w:val="center" w:pos="4680"/>
        <w:tab w:val="right" w:pos="9360"/>
      </w:tabs>
      <w:spacing w:after="0"/>
    </w:pPr>
  </w:style>
  <w:style w:type="character" w:customStyle="1" w:styleId="FooterChar">
    <w:name w:val="Footer Char"/>
    <w:basedOn w:val="DefaultParagraphFont"/>
    <w:link w:val="Footer"/>
    <w:uiPriority w:val="99"/>
    <w:rsid w:val="00080655"/>
  </w:style>
  <w:style w:type="character" w:styleId="Hyperlink">
    <w:name w:val="Hyperlink"/>
    <w:basedOn w:val="DefaultParagraphFont"/>
    <w:unhideWhenUsed/>
    <w:rsid w:val="00080655"/>
    <w:rPr>
      <w:color w:val="0563C1" w:themeColor="hyperlink"/>
      <w:u w:val="single"/>
    </w:rPr>
  </w:style>
  <w:style w:type="paragraph" w:styleId="BalloonText">
    <w:name w:val="Balloon Text"/>
    <w:basedOn w:val="Normal"/>
    <w:link w:val="BalloonTextChar"/>
    <w:uiPriority w:val="99"/>
    <w:semiHidden/>
    <w:unhideWhenUsed/>
    <w:rsid w:val="00BE38D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8DB"/>
    <w:rPr>
      <w:rFonts w:ascii="Segoe UI" w:hAnsi="Segoe UI" w:cs="Segoe UI"/>
      <w:sz w:val="18"/>
      <w:szCs w:val="18"/>
    </w:rPr>
  </w:style>
  <w:style w:type="paragraph" w:styleId="ListParagraph">
    <w:name w:val="List Paragraph"/>
    <w:basedOn w:val="Normal"/>
    <w:uiPriority w:val="34"/>
    <w:qFormat/>
    <w:rsid w:val="003A78F9"/>
    <w:pPr>
      <w:ind w:left="720"/>
      <w:contextualSpacing/>
    </w:pPr>
  </w:style>
  <w:style w:type="table" w:styleId="TableGrid">
    <w:name w:val="Table Grid"/>
    <w:basedOn w:val="TableNormal"/>
    <w:uiPriority w:val="39"/>
    <w:rsid w:val="00480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7382E"/>
    <w:rPr>
      <w:sz w:val="16"/>
      <w:szCs w:val="16"/>
    </w:rPr>
  </w:style>
  <w:style w:type="paragraph" w:styleId="CommentText">
    <w:name w:val="annotation text"/>
    <w:basedOn w:val="Normal"/>
    <w:link w:val="CommentTextChar"/>
    <w:uiPriority w:val="99"/>
    <w:semiHidden/>
    <w:unhideWhenUsed/>
    <w:rsid w:val="0047382E"/>
    <w:rPr>
      <w:sz w:val="20"/>
      <w:szCs w:val="20"/>
    </w:rPr>
  </w:style>
  <w:style w:type="character" w:customStyle="1" w:styleId="CommentTextChar">
    <w:name w:val="Comment Text Char"/>
    <w:basedOn w:val="DefaultParagraphFont"/>
    <w:link w:val="CommentText"/>
    <w:uiPriority w:val="99"/>
    <w:semiHidden/>
    <w:rsid w:val="0047382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7382E"/>
    <w:rPr>
      <w:b/>
      <w:bCs/>
    </w:rPr>
  </w:style>
  <w:style w:type="character" w:customStyle="1" w:styleId="CommentSubjectChar">
    <w:name w:val="Comment Subject Char"/>
    <w:basedOn w:val="CommentTextChar"/>
    <w:link w:val="CommentSubject"/>
    <w:uiPriority w:val="99"/>
    <w:semiHidden/>
    <w:rsid w:val="0047382E"/>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925785"/>
    <w:rPr>
      <w:color w:val="954F72" w:themeColor="followedHyperlink"/>
      <w:u w:val="single"/>
    </w:rPr>
  </w:style>
  <w:style w:type="character" w:customStyle="1" w:styleId="UnresolvedMention1">
    <w:name w:val="Unresolved Mention1"/>
    <w:basedOn w:val="DefaultParagraphFont"/>
    <w:uiPriority w:val="99"/>
    <w:semiHidden/>
    <w:unhideWhenUsed/>
    <w:rsid w:val="001526ED"/>
    <w:rPr>
      <w:color w:val="605E5C"/>
      <w:shd w:val="clear" w:color="auto" w:fill="E1DFDD"/>
    </w:rPr>
  </w:style>
  <w:style w:type="character" w:styleId="UnresolvedMention">
    <w:name w:val="Unresolved Mention"/>
    <w:basedOn w:val="DefaultParagraphFont"/>
    <w:uiPriority w:val="99"/>
    <w:semiHidden/>
    <w:unhideWhenUsed/>
    <w:rsid w:val="00AC30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tr.johnshopkins.edu/study_team/training-education/third-thursdays-with-the-ictr-lecture-series/" TargetMode="External"/><Relationship Id="rId13" Type="http://schemas.openxmlformats.org/officeDocument/2006/relationships/hyperlink" Target="https://ictr.johnshopkins.edu/clinicaltrials-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trrtaskforce.org/" TargetMode="External"/><Relationship Id="rId12" Type="http://schemas.openxmlformats.org/officeDocument/2006/relationships/hyperlink" Target="mailto:registerclinicaltrials@jhmi.ed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ey.jhu.edu/programs/executive-education/programs-individuals/executive-certificates/business-communicati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ictr.johnshopkins.edu/wp-content/uploads/CTgov-QCChecklist.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ctr.johnshopkins.edu/wp-content/uploads/CT.gov-Slides-6-18-20.pptx" TargetMode="External"/><Relationship Id="rId14" Type="http://schemas.openxmlformats.org/officeDocument/2006/relationships/hyperlink" Target="https://ictrweb.johnshopkins.edu/ictr/connec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urli1\Documents\Office%20of%20Clinical%20Trial%20Coord_Overview\Ford%20SOM%20Annual%20Reports_Jul2018\Final%20Formatted\ICTR%20Letterhead%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ICTR Letterhead 2018.dotx</Template>
  <TotalTime>82</TotalTime>
  <Pages>3</Pages>
  <Words>890</Words>
  <Characters>5078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ClinicalTrials.gov Program 2019 Annual Update</vt:lpstr>
    </vt:vector>
  </TitlesOfParts>
  <Company>ICTR Johns Hopkins University School of Medicine</Company>
  <LinksUpToDate>false</LinksUpToDate>
  <CharactersWithSpaces>5957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ClinicalTrials.gov Program 2019 Annual Update</dc:title>
  <dc:subject/>
  <dc:creator>Sumati Murli</dc:creator>
  <cp:keywords/>
  <dc:description/>
  <cp:lastModifiedBy>Tony Keyes</cp:lastModifiedBy>
  <cp:revision>11</cp:revision>
  <cp:lastPrinted>2018-07-31T17:48:00Z</cp:lastPrinted>
  <dcterms:created xsi:type="dcterms:W3CDTF">2021-04-07T14:26:00Z</dcterms:created>
  <dcterms:modified xsi:type="dcterms:W3CDTF">2021-04-09T17:32:00Z</dcterms:modified>
</cp:coreProperties>
</file>