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BAB" w:rsidRDefault="00D84BAB" w:rsidP="00967BEE">
      <w:bookmarkStart w:id="0" w:name="_GoBack"/>
      <w:bookmarkEnd w:id="0"/>
    </w:p>
    <w:tbl>
      <w:tblPr>
        <w:tblW w:w="5000" w:type="pct"/>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CellMar>
          <w:left w:w="0" w:type="dxa"/>
          <w:right w:w="0" w:type="dxa"/>
        </w:tblCellMar>
        <w:tblLook w:val="04A0"/>
      </w:tblPr>
      <w:tblGrid>
        <w:gridCol w:w="1044"/>
        <w:gridCol w:w="2700"/>
        <w:gridCol w:w="1385"/>
        <w:gridCol w:w="1357"/>
        <w:gridCol w:w="1517"/>
        <w:gridCol w:w="1452"/>
        <w:gridCol w:w="1392"/>
        <w:gridCol w:w="1392"/>
        <w:gridCol w:w="1456"/>
      </w:tblGrid>
      <w:tr w:rsidR="006D09C8" w:rsidRPr="009D0FCA" w:rsidTr="0085045B">
        <w:trPr>
          <w:cantSplit/>
          <w:trHeight w:hRule="exact" w:val="360"/>
        </w:trPr>
        <w:tc>
          <w:tcPr>
            <w:tcW w:w="1044" w:type="dxa"/>
            <w:vMerge w:val="restart"/>
            <w:tcBorders>
              <w:top w:val="double" w:sz="4" w:space="0" w:color="auto"/>
              <w:bottom w:val="double" w:sz="4" w:space="0" w:color="auto"/>
              <w:right w:val="double" w:sz="4" w:space="0" w:color="auto"/>
            </w:tcBorders>
            <w:shd w:val="pct10" w:color="auto" w:fill="auto"/>
            <w:tcMar>
              <w:top w:w="72" w:type="dxa"/>
              <w:left w:w="144" w:type="dxa"/>
              <w:bottom w:w="72" w:type="dxa"/>
              <w:right w:w="144" w:type="dxa"/>
            </w:tcMar>
            <w:vAlign w:val="center"/>
          </w:tcPr>
          <w:p w:rsidR="006D09C8" w:rsidRPr="009D0FCA" w:rsidRDefault="006D09C8" w:rsidP="0085045B">
            <w:pPr>
              <w:ind w:left="-90"/>
              <w:jc w:val="center"/>
              <w:rPr>
                <w:rFonts w:cs="Arial"/>
                <w:b/>
                <w:sz w:val="20"/>
              </w:rPr>
            </w:pPr>
            <w:r>
              <w:rPr>
                <w:rFonts w:cs="Arial"/>
                <w:b/>
                <w:sz w:val="20"/>
              </w:rPr>
              <w:t>Entity</w:t>
            </w:r>
          </w:p>
        </w:tc>
        <w:tc>
          <w:tcPr>
            <w:tcW w:w="5442" w:type="dxa"/>
            <w:gridSpan w:val="3"/>
            <w:tcBorders>
              <w:top w:val="double" w:sz="4" w:space="0" w:color="auto"/>
              <w:left w:val="double" w:sz="4" w:space="0" w:color="auto"/>
              <w:bottom w:val="double" w:sz="4" w:space="0" w:color="auto"/>
            </w:tcBorders>
            <w:shd w:val="pct10" w:color="auto" w:fill="auto"/>
            <w:tcMar>
              <w:top w:w="72" w:type="dxa"/>
              <w:left w:w="144" w:type="dxa"/>
              <w:bottom w:w="72" w:type="dxa"/>
              <w:right w:w="144" w:type="dxa"/>
            </w:tcMar>
            <w:vAlign w:val="center"/>
          </w:tcPr>
          <w:p w:rsidR="006D09C8" w:rsidRPr="009D0FCA" w:rsidRDefault="0085045B" w:rsidP="0085045B">
            <w:pPr>
              <w:jc w:val="center"/>
              <w:textAlignment w:val="baseline"/>
              <w:rPr>
                <w:rFonts w:cs="Arial"/>
                <w:b/>
                <w:bCs/>
                <w:color w:val="000000"/>
                <w:kern w:val="24"/>
                <w:sz w:val="20"/>
              </w:rPr>
            </w:pPr>
            <w:r>
              <w:rPr>
                <w:rFonts w:cs="Arial"/>
                <w:b/>
                <w:bCs/>
                <w:color w:val="FF0000"/>
                <w:kern w:val="24"/>
                <w:sz w:val="20"/>
              </w:rPr>
              <w:t xml:space="preserve">SAE that is </w:t>
            </w:r>
            <w:r w:rsidR="006D09C8" w:rsidRPr="00D733CB">
              <w:rPr>
                <w:rFonts w:cs="Arial"/>
                <w:b/>
                <w:bCs/>
                <w:color w:val="FF0000"/>
                <w:kern w:val="24"/>
                <w:sz w:val="20"/>
              </w:rPr>
              <w:t>N</w:t>
            </w:r>
            <w:r w:rsidR="006D09C8">
              <w:rPr>
                <w:rFonts w:cs="Arial"/>
                <w:b/>
                <w:bCs/>
                <w:color w:val="FF0000"/>
                <w:kern w:val="24"/>
                <w:sz w:val="20"/>
              </w:rPr>
              <w:t>OT</w:t>
            </w:r>
            <w:r>
              <w:rPr>
                <w:rFonts w:cs="Arial"/>
                <w:b/>
                <w:bCs/>
                <w:color w:val="FF0000"/>
                <w:kern w:val="24"/>
                <w:sz w:val="20"/>
              </w:rPr>
              <w:t xml:space="preserve"> Fatal/</w:t>
            </w:r>
            <w:r w:rsidR="006D09C8" w:rsidRPr="00D733CB">
              <w:rPr>
                <w:rFonts w:cs="Arial"/>
                <w:b/>
                <w:bCs/>
                <w:color w:val="FF0000"/>
                <w:kern w:val="24"/>
                <w:sz w:val="20"/>
              </w:rPr>
              <w:t xml:space="preserve">Life-Threatening </w:t>
            </w:r>
          </w:p>
        </w:tc>
        <w:tc>
          <w:tcPr>
            <w:tcW w:w="5753" w:type="dxa"/>
            <w:gridSpan w:val="4"/>
            <w:tcBorders>
              <w:top w:val="double" w:sz="4" w:space="0" w:color="auto"/>
              <w:bottom w:val="double" w:sz="4" w:space="0" w:color="auto"/>
            </w:tcBorders>
            <w:shd w:val="pct10" w:color="auto" w:fill="auto"/>
            <w:vAlign w:val="center"/>
          </w:tcPr>
          <w:p w:rsidR="006D09C8" w:rsidRPr="009D0FCA" w:rsidRDefault="0085045B" w:rsidP="0085045B">
            <w:pPr>
              <w:jc w:val="center"/>
              <w:textAlignment w:val="baseline"/>
              <w:rPr>
                <w:rFonts w:cs="Arial"/>
                <w:b/>
                <w:bCs/>
                <w:color w:val="000000"/>
                <w:kern w:val="24"/>
                <w:sz w:val="20"/>
              </w:rPr>
            </w:pPr>
            <w:r>
              <w:rPr>
                <w:rFonts w:cs="Arial"/>
                <w:b/>
                <w:bCs/>
                <w:color w:val="FF0000"/>
                <w:kern w:val="24"/>
                <w:sz w:val="20"/>
              </w:rPr>
              <w:t>SAE that is Fatal</w:t>
            </w:r>
            <w:r w:rsidR="006D09C8" w:rsidRPr="00D733CB">
              <w:rPr>
                <w:rFonts w:cs="Arial"/>
                <w:b/>
                <w:bCs/>
                <w:color w:val="FF0000"/>
                <w:kern w:val="24"/>
                <w:sz w:val="20"/>
              </w:rPr>
              <w:t xml:space="preserve">/Life-Threatening </w:t>
            </w:r>
          </w:p>
        </w:tc>
        <w:tc>
          <w:tcPr>
            <w:tcW w:w="1456" w:type="dxa"/>
            <w:vMerge w:val="restart"/>
            <w:tcBorders>
              <w:top w:val="double" w:sz="4" w:space="0" w:color="auto"/>
              <w:right w:val="double" w:sz="4" w:space="0" w:color="auto"/>
            </w:tcBorders>
            <w:shd w:val="pct10" w:color="auto" w:fill="auto"/>
            <w:vAlign w:val="center"/>
          </w:tcPr>
          <w:p w:rsidR="006D09C8" w:rsidRPr="009D0FCA" w:rsidRDefault="006D09C8" w:rsidP="00CC6DE2">
            <w:pPr>
              <w:jc w:val="center"/>
              <w:textAlignment w:val="baseline"/>
              <w:rPr>
                <w:rFonts w:cs="Arial"/>
                <w:b/>
                <w:bCs/>
                <w:color w:val="000000"/>
                <w:kern w:val="24"/>
                <w:sz w:val="20"/>
              </w:rPr>
            </w:pPr>
            <w:r w:rsidRPr="009D0FCA">
              <w:rPr>
                <w:rFonts w:cs="Arial"/>
                <w:b/>
                <w:bCs/>
                <w:color w:val="000000"/>
                <w:kern w:val="24"/>
                <w:sz w:val="20"/>
              </w:rPr>
              <w:t>F</w:t>
            </w:r>
            <w:r>
              <w:rPr>
                <w:rFonts w:cs="Arial"/>
                <w:b/>
                <w:bCs/>
                <w:color w:val="000000"/>
                <w:kern w:val="24"/>
                <w:sz w:val="20"/>
              </w:rPr>
              <w:t>/U</w:t>
            </w:r>
            <w:r w:rsidRPr="009D0FCA">
              <w:rPr>
                <w:rFonts w:cs="Arial"/>
                <w:b/>
                <w:bCs/>
                <w:color w:val="000000"/>
                <w:kern w:val="24"/>
                <w:sz w:val="20"/>
              </w:rPr>
              <w:t xml:space="preserve"> Info</w:t>
            </w:r>
          </w:p>
        </w:tc>
      </w:tr>
      <w:tr w:rsidR="006B2C87" w:rsidRPr="009D0FCA" w:rsidTr="0085045B">
        <w:trPr>
          <w:cantSplit/>
          <w:trHeight w:hRule="exact" w:val="360"/>
        </w:trPr>
        <w:tc>
          <w:tcPr>
            <w:tcW w:w="1044" w:type="dxa"/>
            <w:vMerge/>
            <w:tcBorders>
              <w:top w:val="double" w:sz="4" w:space="0" w:color="auto"/>
              <w:bottom w:val="double" w:sz="4" w:space="0" w:color="auto"/>
              <w:right w:val="double" w:sz="4" w:space="0" w:color="auto"/>
            </w:tcBorders>
            <w:shd w:val="pct10" w:color="auto" w:fill="auto"/>
            <w:tcMar>
              <w:top w:w="72" w:type="dxa"/>
              <w:left w:w="144" w:type="dxa"/>
              <w:bottom w:w="72" w:type="dxa"/>
              <w:right w:w="144" w:type="dxa"/>
            </w:tcMar>
            <w:vAlign w:val="center"/>
            <w:hideMark/>
          </w:tcPr>
          <w:p w:rsidR="006B2C87" w:rsidRPr="009D0FCA" w:rsidRDefault="006B2C87" w:rsidP="00884DED">
            <w:pPr>
              <w:jc w:val="center"/>
              <w:rPr>
                <w:rFonts w:cs="Arial"/>
                <w:b/>
                <w:sz w:val="20"/>
              </w:rPr>
            </w:pPr>
          </w:p>
        </w:tc>
        <w:tc>
          <w:tcPr>
            <w:tcW w:w="2700" w:type="dxa"/>
            <w:tcBorders>
              <w:top w:val="double" w:sz="4" w:space="0" w:color="auto"/>
              <w:left w:val="double" w:sz="4" w:space="0" w:color="auto"/>
              <w:bottom w:val="double" w:sz="4" w:space="0" w:color="auto"/>
            </w:tcBorders>
            <w:shd w:val="pct10" w:color="auto" w:fill="auto"/>
            <w:tcMar>
              <w:top w:w="72" w:type="dxa"/>
              <w:left w:w="144" w:type="dxa"/>
              <w:bottom w:w="72" w:type="dxa"/>
              <w:right w:w="144" w:type="dxa"/>
            </w:tcMar>
            <w:vAlign w:val="center"/>
            <w:hideMark/>
          </w:tcPr>
          <w:p w:rsidR="006B2C87" w:rsidRPr="009D0FCA" w:rsidRDefault="006B2C87" w:rsidP="007F59A7">
            <w:pPr>
              <w:jc w:val="center"/>
              <w:textAlignment w:val="baseline"/>
              <w:rPr>
                <w:rFonts w:cs="Arial"/>
                <w:b/>
                <w:sz w:val="20"/>
              </w:rPr>
            </w:pPr>
            <w:r>
              <w:rPr>
                <w:rFonts w:cs="Arial"/>
                <w:b/>
                <w:sz w:val="20"/>
              </w:rPr>
              <w:t>NOT Related^</w:t>
            </w:r>
          </w:p>
        </w:tc>
        <w:tc>
          <w:tcPr>
            <w:tcW w:w="2742" w:type="dxa"/>
            <w:gridSpan w:val="2"/>
            <w:tcBorders>
              <w:top w:val="double" w:sz="4" w:space="0" w:color="auto"/>
              <w:bottom w:val="double" w:sz="4" w:space="0" w:color="auto"/>
            </w:tcBorders>
            <w:shd w:val="pct10" w:color="auto" w:fill="auto"/>
            <w:vAlign w:val="center"/>
          </w:tcPr>
          <w:p w:rsidR="006B2C87" w:rsidRPr="009D0FCA" w:rsidRDefault="006B2C87" w:rsidP="007F59A7">
            <w:pPr>
              <w:jc w:val="center"/>
              <w:textAlignment w:val="baseline"/>
              <w:rPr>
                <w:rFonts w:cs="Arial"/>
                <w:b/>
                <w:sz w:val="20"/>
              </w:rPr>
            </w:pPr>
            <w:r w:rsidRPr="006B2C87">
              <w:rPr>
                <w:rFonts w:cs="Arial"/>
                <w:b/>
                <w:bCs/>
                <w:color w:val="FF0000"/>
                <w:kern w:val="24"/>
                <w:sz w:val="20"/>
              </w:rPr>
              <w:t>Related</w:t>
            </w:r>
            <w:r>
              <w:rPr>
                <w:rFonts w:cs="Arial"/>
                <w:b/>
                <w:bCs/>
                <w:color w:val="000000"/>
                <w:kern w:val="24"/>
                <w:sz w:val="20"/>
              </w:rPr>
              <w:t>^</w:t>
            </w:r>
          </w:p>
        </w:tc>
        <w:tc>
          <w:tcPr>
            <w:tcW w:w="2969" w:type="dxa"/>
            <w:gridSpan w:val="2"/>
            <w:tcBorders>
              <w:top w:val="double" w:sz="4" w:space="0" w:color="auto"/>
              <w:bottom w:val="double" w:sz="4" w:space="0" w:color="auto"/>
            </w:tcBorders>
            <w:shd w:val="pct10" w:color="auto" w:fill="auto"/>
            <w:vAlign w:val="center"/>
          </w:tcPr>
          <w:p w:rsidR="006B2C87" w:rsidRPr="009D0FCA" w:rsidRDefault="006B2C87" w:rsidP="007F59A7">
            <w:pPr>
              <w:jc w:val="center"/>
              <w:textAlignment w:val="baseline"/>
              <w:rPr>
                <w:rFonts w:cs="Arial"/>
                <w:b/>
                <w:sz w:val="20"/>
              </w:rPr>
            </w:pPr>
            <w:r>
              <w:rPr>
                <w:rFonts w:cs="Arial"/>
                <w:b/>
                <w:sz w:val="20"/>
              </w:rPr>
              <w:t>NOT Related^</w:t>
            </w:r>
          </w:p>
        </w:tc>
        <w:tc>
          <w:tcPr>
            <w:tcW w:w="2784" w:type="dxa"/>
            <w:gridSpan w:val="2"/>
            <w:tcBorders>
              <w:bottom w:val="double" w:sz="4" w:space="0" w:color="auto"/>
            </w:tcBorders>
            <w:shd w:val="pct10" w:color="auto" w:fill="auto"/>
            <w:vAlign w:val="center"/>
          </w:tcPr>
          <w:p w:rsidR="006B2C87" w:rsidRPr="009D0FCA" w:rsidRDefault="006B2C87" w:rsidP="007F59A7">
            <w:pPr>
              <w:jc w:val="center"/>
              <w:textAlignment w:val="baseline"/>
              <w:rPr>
                <w:rFonts w:cs="Arial"/>
                <w:b/>
                <w:sz w:val="20"/>
              </w:rPr>
            </w:pPr>
            <w:r w:rsidRPr="006B2C87">
              <w:rPr>
                <w:rFonts w:cs="Arial"/>
                <w:b/>
                <w:bCs/>
                <w:color w:val="FF0000"/>
                <w:kern w:val="24"/>
                <w:sz w:val="20"/>
              </w:rPr>
              <w:t>Related</w:t>
            </w:r>
            <w:r>
              <w:rPr>
                <w:rFonts w:cs="Arial"/>
                <w:b/>
                <w:bCs/>
                <w:color w:val="000000"/>
                <w:kern w:val="24"/>
                <w:sz w:val="20"/>
              </w:rPr>
              <w:t>^</w:t>
            </w:r>
          </w:p>
        </w:tc>
        <w:tc>
          <w:tcPr>
            <w:tcW w:w="1456" w:type="dxa"/>
            <w:vMerge/>
            <w:tcBorders>
              <w:right w:val="double" w:sz="4" w:space="0" w:color="auto"/>
            </w:tcBorders>
            <w:shd w:val="pct10" w:color="auto" w:fill="auto"/>
            <w:vAlign w:val="center"/>
          </w:tcPr>
          <w:p w:rsidR="006B2C87" w:rsidRPr="009D0FCA" w:rsidRDefault="006B2C87" w:rsidP="009D0FCA">
            <w:pPr>
              <w:jc w:val="center"/>
              <w:textAlignment w:val="baseline"/>
              <w:rPr>
                <w:rFonts w:cs="Arial"/>
                <w:b/>
                <w:sz w:val="20"/>
              </w:rPr>
            </w:pPr>
          </w:p>
        </w:tc>
      </w:tr>
      <w:tr w:rsidR="007F59A7" w:rsidRPr="009D0FCA" w:rsidTr="0085045B">
        <w:trPr>
          <w:cantSplit/>
          <w:trHeight w:hRule="exact" w:val="360"/>
        </w:trPr>
        <w:tc>
          <w:tcPr>
            <w:tcW w:w="1044" w:type="dxa"/>
            <w:vMerge/>
            <w:tcBorders>
              <w:top w:val="double" w:sz="4" w:space="0" w:color="auto"/>
              <w:bottom w:val="double" w:sz="4" w:space="0" w:color="auto"/>
              <w:right w:val="double" w:sz="4" w:space="0" w:color="auto"/>
            </w:tcBorders>
            <w:shd w:val="pct10" w:color="auto" w:fill="auto"/>
            <w:tcMar>
              <w:top w:w="72" w:type="dxa"/>
              <w:left w:w="144" w:type="dxa"/>
              <w:bottom w:w="72" w:type="dxa"/>
              <w:right w:w="144" w:type="dxa"/>
            </w:tcMar>
            <w:vAlign w:val="center"/>
          </w:tcPr>
          <w:p w:rsidR="007F59A7" w:rsidRPr="009D0FCA" w:rsidRDefault="007F59A7" w:rsidP="00884DED">
            <w:pPr>
              <w:jc w:val="center"/>
              <w:rPr>
                <w:rFonts w:cs="Arial"/>
                <w:b/>
                <w:sz w:val="20"/>
              </w:rPr>
            </w:pPr>
          </w:p>
        </w:tc>
        <w:tc>
          <w:tcPr>
            <w:tcW w:w="2700" w:type="dxa"/>
            <w:tcBorders>
              <w:top w:val="double" w:sz="4" w:space="0" w:color="auto"/>
              <w:left w:val="double" w:sz="4" w:space="0" w:color="auto"/>
              <w:bottom w:val="double" w:sz="4" w:space="0" w:color="auto"/>
              <w:right w:val="single" w:sz="8" w:space="0" w:color="000000"/>
            </w:tcBorders>
            <w:shd w:val="pct10" w:color="auto" w:fill="auto"/>
            <w:tcMar>
              <w:top w:w="72" w:type="dxa"/>
              <w:left w:w="144" w:type="dxa"/>
              <w:bottom w:w="72" w:type="dxa"/>
              <w:right w:w="144" w:type="dxa"/>
            </w:tcMar>
            <w:vAlign w:val="center"/>
          </w:tcPr>
          <w:p w:rsidR="007F59A7" w:rsidRPr="009D0FCA" w:rsidRDefault="007F59A7" w:rsidP="007F59A7">
            <w:pPr>
              <w:jc w:val="center"/>
              <w:textAlignment w:val="baseline"/>
              <w:rPr>
                <w:rFonts w:cs="Arial"/>
                <w:b/>
                <w:bCs/>
                <w:color w:val="000000"/>
                <w:kern w:val="24"/>
                <w:sz w:val="20"/>
              </w:rPr>
            </w:pPr>
            <w:r>
              <w:rPr>
                <w:rFonts w:cs="Arial"/>
                <w:b/>
                <w:bCs/>
                <w:color w:val="000000"/>
                <w:kern w:val="24"/>
                <w:sz w:val="20"/>
              </w:rPr>
              <w:t>Expected or Unexpected</w:t>
            </w:r>
            <w:r>
              <w:rPr>
                <w:rFonts w:cs="Arial"/>
                <w:b/>
                <w:bCs/>
                <w:color w:val="000000"/>
                <w:kern w:val="24"/>
                <w:sz w:val="20"/>
                <w:vertAlign w:val="superscript"/>
              </w:rPr>
              <w:t>1</w:t>
            </w:r>
          </w:p>
        </w:tc>
        <w:tc>
          <w:tcPr>
            <w:tcW w:w="1385" w:type="dxa"/>
            <w:tcBorders>
              <w:top w:val="double" w:sz="4" w:space="0" w:color="auto"/>
              <w:left w:val="single" w:sz="8" w:space="0" w:color="000000"/>
              <w:bottom w:val="double" w:sz="4" w:space="0" w:color="auto"/>
            </w:tcBorders>
            <w:shd w:val="pct10" w:color="auto" w:fill="auto"/>
            <w:vAlign w:val="center"/>
          </w:tcPr>
          <w:p w:rsidR="007F59A7" w:rsidRPr="009D0FCA" w:rsidRDefault="007F59A7" w:rsidP="00A0514E">
            <w:pPr>
              <w:jc w:val="center"/>
              <w:textAlignment w:val="baseline"/>
              <w:rPr>
                <w:rFonts w:cs="Arial"/>
                <w:b/>
                <w:bCs/>
                <w:color w:val="000000"/>
                <w:kern w:val="24"/>
                <w:sz w:val="20"/>
              </w:rPr>
            </w:pPr>
            <w:r>
              <w:rPr>
                <w:rFonts w:cs="Arial"/>
                <w:b/>
                <w:bCs/>
                <w:color w:val="000000"/>
                <w:kern w:val="24"/>
                <w:sz w:val="20"/>
              </w:rPr>
              <w:t>Expected</w:t>
            </w:r>
          </w:p>
        </w:tc>
        <w:tc>
          <w:tcPr>
            <w:tcW w:w="1357" w:type="dxa"/>
            <w:tcBorders>
              <w:top w:val="double" w:sz="4" w:space="0" w:color="auto"/>
              <w:left w:val="single" w:sz="8" w:space="0" w:color="000000"/>
              <w:bottom w:val="double" w:sz="4" w:space="0" w:color="auto"/>
              <w:right w:val="single" w:sz="8" w:space="0" w:color="000000"/>
            </w:tcBorders>
            <w:shd w:val="pct10" w:color="auto" w:fill="auto"/>
            <w:vAlign w:val="center"/>
          </w:tcPr>
          <w:p w:rsidR="007F59A7" w:rsidRPr="009D0FCA" w:rsidRDefault="007F59A7" w:rsidP="007253CE">
            <w:pPr>
              <w:jc w:val="center"/>
              <w:textAlignment w:val="baseline"/>
              <w:rPr>
                <w:rFonts w:cs="Arial"/>
                <w:b/>
                <w:bCs/>
                <w:color w:val="000000"/>
                <w:kern w:val="24"/>
                <w:sz w:val="20"/>
              </w:rPr>
            </w:pPr>
            <w:r w:rsidRPr="006B2C87">
              <w:rPr>
                <w:rFonts w:cs="Arial"/>
                <w:b/>
                <w:bCs/>
                <w:color w:val="FF0000"/>
                <w:kern w:val="24"/>
                <w:sz w:val="20"/>
              </w:rPr>
              <w:t>Unexpected</w:t>
            </w:r>
            <w:r>
              <w:rPr>
                <w:rFonts w:cs="Arial"/>
                <w:b/>
                <w:bCs/>
                <w:color w:val="000000"/>
                <w:kern w:val="24"/>
                <w:sz w:val="20"/>
                <w:vertAlign w:val="superscript"/>
              </w:rPr>
              <w:t>1</w:t>
            </w:r>
          </w:p>
        </w:tc>
        <w:tc>
          <w:tcPr>
            <w:tcW w:w="1517" w:type="dxa"/>
            <w:tcBorders>
              <w:top w:val="double" w:sz="4" w:space="0" w:color="auto"/>
              <w:left w:val="single" w:sz="8" w:space="0" w:color="000000"/>
              <w:bottom w:val="double" w:sz="4" w:space="0" w:color="auto"/>
            </w:tcBorders>
            <w:shd w:val="pct10" w:color="auto" w:fill="auto"/>
            <w:vAlign w:val="center"/>
          </w:tcPr>
          <w:p w:rsidR="007F59A7" w:rsidRPr="009D0FCA" w:rsidRDefault="007F59A7" w:rsidP="00A0514E">
            <w:pPr>
              <w:jc w:val="center"/>
              <w:textAlignment w:val="baseline"/>
              <w:rPr>
                <w:rFonts w:cs="Arial"/>
                <w:b/>
                <w:sz w:val="20"/>
              </w:rPr>
            </w:pPr>
            <w:r>
              <w:rPr>
                <w:rFonts w:cs="Arial"/>
                <w:b/>
                <w:bCs/>
                <w:color w:val="000000"/>
                <w:kern w:val="24"/>
                <w:sz w:val="20"/>
              </w:rPr>
              <w:t>Expected</w:t>
            </w:r>
          </w:p>
        </w:tc>
        <w:tc>
          <w:tcPr>
            <w:tcW w:w="1452" w:type="dxa"/>
            <w:tcBorders>
              <w:top w:val="double" w:sz="4" w:space="0" w:color="auto"/>
              <w:bottom w:val="double" w:sz="4" w:space="0" w:color="auto"/>
            </w:tcBorders>
            <w:shd w:val="pct10" w:color="auto" w:fill="auto"/>
            <w:vAlign w:val="center"/>
          </w:tcPr>
          <w:p w:rsidR="007F59A7" w:rsidRPr="009D0FCA" w:rsidRDefault="007F59A7" w:rsidP="007F59A7">
            <w:pPr>
              <w:jc w:val="center"/>
              <w:textAlignment w:val="baseline"/>
              <w:rPr>
                <w:rFonts w:cs="Arial"/>
                <w:b/>
                <w:sz w:val="20"/>
              </w:rPr>
            </w:pPr>
            <w:r w:rsidRPr="00B91512">
              <w:rPr>
                <w:rFonts w:cs="Arial"/>
                <w:b/>
                <w:bCs/>
                <w:kern w:val="24"/>
                <w:sz w:val="20"/>
              </w:rPr>
              <w:t>Unexpected</w:t>
            </w:r>
            <w:r>
              <w:rPr>
                <w:rFonts w:cs="Arial"/>
                <w:b/>
                <w:bCs/>
                <w:color w:val="000000"/>
                <w:kern w:val="24"/>
                <w:sz w:val="20"/>
                <w:vertAlign w:val="superscript"/>
              </w:rPr>
              <w:t>1</w:t>
            </w:r>
          </w:p>
        </w:tc>
        <w:tc>
          <w:tcPr>
            <w:tcW w:w="1392" w:type="dxa"/>
            <w:tcBorders>
              <w:top w:val="double" w:sz="4" w:space="0" w:color="auto"/>
              <w:bottom w:val="double" w:sz="4" w:space="0" w:color="auto"/>
            </w:tcBorders>
            <w:shd w:val="pct10" w:color="auto" w:fill="auto"/>
            <w:vAlign w:val="center"/>
          </w:tcPr>
          <w:p w:rsidR="007F59A7" w:rsidRPr="009D0FCA" w:rsidRDefault="007F59A7" w:rsidP="00B91512">
            <w:pPr>
              <w:jc w:val="center"/>
              <w:textAlignment w:val="baseline"/>
              <w:rPr>
                <w:rFonts w:cs="Arial"/>
                <w:b/>
                <w:sz w:val="20"/>
              </w:rPr>
            </w:pPr>
            <w:r>
              <w:rPr>
                <w:rFonts w:cs="Arial"/>
                <w:b/>
                <w:bCs/>
                <w:color w:val="000000"/>
                <w:kern w:val="24"/>
                <w:sz w:val="20"/>
              </w:rPr>
              <w:t>Expected</w:t>
            </w:r>
          </w:p>
        </w:tc>
        <w:tc>
          <w:tcPr>
            <w:tcW w:w="1392" w:type="dxa"/>
            <w:tcBorders>
              <w:top w:val="double" w:sz="4" w:space="0" w:color="auto"/>
              <w:bottom w:val="double" w:sz="4" w:space="0" w:color="auto"/>
            </w:tcBorders>
            <w:shd w:val="pct10" w:color="auto" w:fill="auto"/>
            <w:vAlign w:val="center"/>
          </w:tcPr>
          <w:p w:rsidR="007F59A7" w:rsidRPr="009D0FCA" w:rsidRDefault="007F59A7" w:rsidP="007F59A7">
            <w:pPr>
              <w:jc w:val="center"/>
              <w:textAlignment w:val="baseline"/>
              <w:rPr>
                <w:rFonts w:cs="Arial"/>
                <w:b/>
                <w:sz w:val="20"/>
              </w:rPr>
            </w:pPr>
            <w:r w:rsidRPr="006B2C87">
              <w:rPr>
                <w:rFonts w:cs="Arial"/>
                <w:b/>
                <w:bCs/>
                <w:color w:val="FF0000"/>
                <w:kern w:val="24"/>
                <w:sz w:val="20"/>
              </w:rPr>
              <w:t>Unexpected</w:t>
            </w:r>
            <w:r>
              <w:rPr>
                <w:rFonts w:cs="Arial"/>
                <w:b/>
                <w:bCs/>
                <w:color w:val="000000"/>
                <w:kern w:val="24"/>
                <w:sz w:val="20"/>
                <w:vertAlign w:val="superscript"/>
              </w:rPr>
              <w:t>1</w:t>
            </w:r>
          </w:p>
        </w:tc>
        <w:tc>
          <w:tcPr>
            <w:tcW w:w="1456" w:type="dxa"/>
            <w:vMerge/>
            <w:tcBorders>
              <w:bottom w:val="double" w:sz="4" w:space="0" w:color="auto"/>
              <w:right w:val="double" w:sz="4" w:space="0" w:color="auto"/>
            </w:tcBorders>
            <w:shd w:val="pct10" w:color="auto" w:fill="auto"/>
            <w:vAlign w:val="center"/>
          </w:tcPr>
          <w:p w:rsidR="007F59A7" w:rsidRPr="009D0FCA" w:rsidRDefault="007F59A7" w:rsidP="009D0FCA">
            <w:pPr>
              <w:jc w:val="center"/>
              <w:textAlignment w:val="baseline"/>
              <w:rPr>
                <w:rFonts w:cs="Arial"/>
                <w:b/>
                <w:bCs/>
                <w:color w:val="000000"/>
                <w:kern w:val="24"/>
                <w:sz w:val="20"/>
              </w:rPr>
            </w:pPr>
          </w:p>
        </w:tc>
      </w:tr>
      <w:tr w:rsidR="007F59A7" w:rsidRPr="009D0FCA" w:rsidTr="0085045B">
        <w:trPr>
          <w:cantSplit/>
          <w:trHeight w:val="576"/>
        </w:trPr>
        <w:tc>
          <w:tcPr>
            <w:tcW w:w="1044" w:type="dxa"/>
            <w:tcBorders>
              <w:top w:val="double" w:sz="4" w:space="0" w:color="auto"/>
              <w:right w:val="double" w:sz="4" w:space="0" w:color="auto"/>
            </w:tcBorders>
            <w:shd w:val="pct10" w:color="auto" w:fill="auto"/>
            <w:tcMar>
              <w:top w:w="72" w:type="dxa"/>
              <w:left w:w="144" w:type="dxa"/>
              <w:bottom w:w="72" w:type="dxa"/>
              <w:right w:w="144" w:type="dxa"/>
            </w:tcMar>
            <w:vAlign w:val="center"/>
            <w:hideMark/>
          </w:tcPr>
          <w:p w:rsidR="007F59A7" w:rsidRPr="009D0FCA" w:rsidRDefault="007F59A7" w:rsidP="0085045B">
            <w:pPr>
              <w:ind w:left="-90"/>
              <w:jc w:val="center"/>
              <w:textAlignment w:val="baseline"/>
              <w:rPr>
                <w:rFonts w:cs="Arial"/>
                <w:sz w:val="20"/>
              </w:rPr>
            </w:pPr>
            <w:r w:rsidRPr="009D0FCA">
              <w:rPr>
                <w:rFonts w:cs="Arial"/>
                <w:b/>
                <w:bCs/>
                <w:color w:val="000000"/>
                <w:kern w:val="24"/>
                <w:sz w:val="20"/>
              </w:rPr>
              <w:t>Sponsor</w:t>
            </w:r>
            <w:r w:rsidRPr="009D0FCA">
              <w:rPr>
                <w:rFonts w:cs="Arial"/>
                <w:color w:val="000000"/>
                <w:kern w:val="24"/>
                <w:sz w:val="20"/>
              </w:rPr>
              <w:t xml:space="preserve"> </w:t>
            </w:r>
          </w:p>
        </w:tc>
        <w:tc>
          <w:tcPr>
            <w:tcW w:w="2700" w:type="dxa"/>
            <w:tcBorders>
              <w:top w:val="double" w:sz="4" w:space="0" w:color="auto"/>
              <w:left w:val="double" w:sz="4" w:space="0" w:color="auto"/>
              <w:bottom w:val="single" w:sz="8" w:space="0" w:color="000000"/>
              <w:right w:val="single" w:sz="8" w:space="0" w:color="000000"/>
            </w:tcBorders>
            <w:shd w:val="clear" w:color="auto" w:fill="auto"/>
            <w:tcMar>
              <w:top w:w="72" w:type="dxa"/>
              <w:left w:w="144" w:type="dxa"/>
              <w:bottom w:w="72" w:type="dxa"/>
              <w:right w:w="144" w:type="dxa"/>
            </w:tcMar>
            <w:vAlign w:val="center"/>
          </w:tcPr>
          <w:p w:rsidR="007F59A7" w:rsidRPr="00FD2BAF" w:rsidRDefault="007F59A7" w:rsidP="00B91512">
            <w:pPr>
              <w:jc w:val="center"/>
              <w:textAlignment w:val="baseline"/>
              <w:rPr>
                <w:rFonts w:cs="Arial"/>
                <w:b/>
                <w:sz w:val="20"/>
              </w:rPr>
            </w:pPr>
            <w:r w:rsidRPr="00FD2BAF">
              <w:rPr>
                <w:rFonts w:cs="Arial"/>
                <w:b/>
                <w:color w:val="000000"/>
                <w:kern w:val="24"/>
                <w:sz w:val="20"/>
              </w:rPr>
              <w:t>Per protocol</w:t>
            </w:r>
          </w:p>
        </w:tc>
        <w:tc>
          <w:tcPr>
            <w:tcW w:w="1385" w:type="dxa"/>
            <w:tcBorders>
              <w:top w:val="double" w:sz="4" w:space="0" w:color="auto"/>
              <w:left w:val="single" w:sz="8" w:space="0" w:color="000000"/>
              <w:bottom w:val="single" w:sz="8" w:space="0" w:color="000000"/>
            </w:tcBorders>
            <w:shd w:val="clear" w:color="auto" w:fill="auto"/>
            <w:tcMar>
              <w:top w:w="72" w:type="dxa"/>
              <w:left w:w="144" w:type="dxa"/>
              <w:bottom w:w="72" w:type="dxa"/>
              <w:right w:w="144" w:type="dxa"/>
            </w:tcMar>
            <w:vAlign w:val="center"/>
          </w:tcPr>
          <w:p w:rsidR="007F59A7" w:rsidRPr="00FD2BAF" w:rsidRDefault="007F59A7" w:rsidP="00B91512">
            <w:pPr>
              <w:jc w:val="center"/>
              <w:textAlignment w:val="baseline"/>
              <w:rPr>
                <w:rFonts w:cs="Arial"/>
                <w:b/>
                <w:sz w:val="20"/>
              </w:rPr>
            </w:pPr>
            <w:r w:rsidRPr="00FD2BAF">
              <w:rPr>
                <w:rFonts w:cs="Arial"/>
                <w:b/>
                <w:color w:val="000000"/>
                <w:kern w:val="24"/>
                <w:sz w:val="20"/>
              </w:rPr>
              <w:t xml:space="preserve">Per </w:t>
            </w:r>
            <w:r>
              <w:rPr>
                <w:rFonts w:cs="Arial"/>
                <w:b/>
                <w:color w:val="000000"/>
                <w:kern w:val="24"/>
                <w:sz w:val="20"/>
              </w:rPr>
              <w:br/>
            </w:r>
            <w:r w:rsidRPr="00FD2BAF">
              <w:rPr>
                <w:rFonts w:cs="Arial"/>
                <w:b/>
                <w:color w:val="000000"/>
                <w:kern w:val="24"/>
                <w:sz w:val="20"/>
              </w:rPr>
              <w:t>protocol</w:t>
            </w:r>
          </w:p>
        </w:tc>
        <w:tc>
          <w:tcPr>
            <w:tcW w:w="1357" w:type="dxa"/>
            <w:tcBorders>
              <w:top w:val="double" w:sz="4" w:space="0" w:color="auto"/>
              <w:left w:val="single" w:sz="8" w:space="0" w:color="000000"/>
              <w:bottom w:val="single" w:sz="8" w:space="0" w:color="000000"/>
            </w:tcBorders>
            <w:shd w:val="clear" w:color="auto" w:fill="auto"/>
            <w:vAlign w:val="center"/>
          </w:tcPr>
          <w:p w:rsidR="007F59A7" w:rsidRPr="00FD2BAF" w:rsidRDefault="007F59A7" w:rsidP="00B91512">
            <w:pPr>
              <w:jc w:val="center"/>
              <w:textAlignment w:val="baseline"/>
              <w:rPr>
                <w:rFonts w:cs="Arial"/>
                <w:b/>
                <w:sz w:val="20"/>
              </w:rPr>
            </w:pPr>
            <w:r w:rsidRPr="00FD2BAF">
              <w:rPr>
                <w:rFonts w:cs="Arial"/>
                <w:b/>
                <w:color w:val="000000"/>
                <w:kern w:val="24"/>
                <w:sz w:val="20"/>
              </w:rPr>
              <w:t xml:space="preserve">Per </w:t>
            </w:r>
            <w:r>
              <w:rPr>
                <w:rFonts w:cs="Arial"/>
                <w:b/>
                <w:color w:val="000000"/>
                <w:kern w:val="24"/>
                <w:sz w:val="20"/>
              </w:rPr>
              <w:br/>
            </w:r>
            <w:r w:rsidRPr="00FD2BAF">
              <w:rPr>
                <w:rFonts w:cs="Arial"/>
                <w:b/>
                <w:color w:val="000000"/>
                <w:kern w:val="24"/>
                <w:sz w:val="20"/>
              </w:rPr>
              <w:t>protocol</w:t>
            </w:r>
          </w:p>
        </w:tc>
        <w:tc>
          <w:tcPr>
            <w:tcW w:w="1517" w:type="dxa"/>
            <w:tcBorders>
              <w:top w:val="double" w:sz="4" w:space="0" w:color="auto"/>
            </w:tcBorders>
            <w:shd w:val="clear" w:color="auto" w:fill="auto"/>
            <w:tcMar>
              <w:top w:w="72" w:type="dxa"/>
              <w:left w:w="144" w:type="dxa"/>
              <w:bottom w:w="72" w:type="dxa"/>
              <w:right w:w="144" w:type="dxa"/>
            </w:tcMar>
            <w:vAlign w:val="center"/>
            <w:hideMark/>
          </w:tcPr>
          <w:p w:rsidR="007F59A7" w:rsidRPr="00FD2BAF" w:rsidRDefault="007F59A7" w:rsidP="00B91512">
            <w:pPr>
              <w:jc w:val="center"/>
              <w:textAlignment w:val="baseline"/>
              <w:rPr>
                <w:rFonts w:cs="Arial"/>
                <w:b/>
                <w:sz w:val="20"/>
              </w:rPr>
            </w:pPr>
            <w:r w:rsidRPr="00FD2BAF">
              <w:rPr>
                <w:rFonts w:cs="Arial"/>
                <w:b/>
                <w:color w:val="000000"/>
                <w:kern w:val="24"/>
                <w:sz w:val="20"/>
              </w:rPr>
              <w:t xml:space="preserve">Per </w:t>
            </w:r>
            <w:r>
              <w:rPr>
                <w:rFonts w:cs="Arial"/>
                <w:b/>
                <w:color w:val="000000"/>
                <w:kern w:val="24"/>
                <w:sz w:val="20"/>
              </w:rPr>
              <w:br/>
            </w:r>
            <w:r w:rsidRPr="00FD2BAF">
              <w:rPr>
                <w:rFonts w:cs="Arial"/>
                <w:b/>
                <w:color w:val="000000"/>
                <w:kern w:val="24"/>
                <w:sz w:val="20"/>
              </w:rPr>
              <w:t>protocol</w:t>
            </w:r>
          </w:p>
        </w:tc>
        <w:tc>
          <w:tcPr>
            <w:tcW w:w="1452" w:type="dxa"/>
            <w:tcBorders>
              <w:top w:val="double" w:sz="4" w:space="0" w:color="auto"/>
            </w:tcBorders>
            <w:vAlign w:val="center"/>
          </w:tcPr>
          <w:p w:rsidR="007F59A7" w:rsidRPr="00FD2BAF" w:rsidRDefault="007F59A7" w:rsidP="00B91512">
            <w:pPr>
              <w:jc w:val="center"/>
              <w:textAlignment w:val="baseline"/>
              <w:rPr>
                <w:rFonts w:cs="Arial"/>
                <w:b/>
                <w:sz w:val="20"/>
              </w:rPr>
            </w:pPr>
            <w:r w:rsidRPr="00FD2BAF">
              <w:rPr>
                <w:rFonts w:cs="Arial"/>
                <w:b/>
                <w:color w:val="000000"/>
                <w:kern w:val="24"/>
                <w:sz w:val="20"/>
              </w:rPr>
              <w:t xml:space="preserve">Per </w:t>
            </w:r>
            <w:r>
              <w:rPr>
                <w:rFonts w:cs="Arial"/>
                <w:b/>
                <w:color w:val="000000"/>
                <w:kern w:val="24"/>
                <w:sz w:val="20"/>
              </w:rPr>
              <w:br/>
            </w:r>
            <w:r w:rsidRPr="00FD2BAF">
              <w:rPr>
                <w:rFonts w:cs="Arial"/>
                <w:b/>
                <w:color w:val="000000"/>
                <w:kern w:val="24"/>
                <w:sz w:val="20"/>
              </w:rPr>
              <w:t>protocol</w:t>
            </w:r>
          </w:p>
        </w:tc>
        <w:tc>
          <w:tcPr>
            <w:tcW w:w="1392" w:type="dxa"/>
            <w:tcBorders>
              <w:top w:val="double" w:sz="4" w:space="0" w:color="auto"/>
            </w:tcBorders>
            <w:vAlign w:val="center"/>
          </w:tcPr>
          <w:p w:rsidR="007F59A7" w:rsidRPr="00FD2BAF" w:rsidRDefault="007F59A7" w:rsidP="00B91512">
            <w:pPr>
              <w:jc w:val="center"/>
              <w:textAlignment w:val="baseline"/>
              <w:rPr>
                <w:rFonts w:cs="Arial"/>
                <w:b/>
                <w:sz w:val="20"/>
              </w:rPr>
            </w:pPr>
            <w:r w:rsidRPr="00FD2BAF">
              <w:rPr>
                <w:rFonts w:cs="Arial"/>
                <w:b/>
                <w:color w:val="000000"/>
                <w:kern w:val="24"/>
                <w:sz w:val="20"/>
              </w:rPr>
              <w:t xml:space="preserve">Per </w:t>
            </w:r>
            <w:r>
              <w:rPr>
                <w:rFonts w:cs="Arial"/>
                <w:b/>
                <w:color w:val="000000"/>
                <w:kern w:val="24"/>
                <w:sz w:val="20"/>
              </w:rPr>
              <w:br/>
            </w:r>
            <w:r w:rsidRPr="00FD2BAF">
              <w:rPr>
                <w:rFonts w:cs="Arial"/>
                <w:b/>
                <w:color w:val="000000"/>
                <w:kern w:val="24"/>
                <w:sz w:val="20"/>
              </w:rPr>
              <w:t>protocol</w:t>
            </w:r>
          </w:p>
        </w:tc>
        <w:tc>
          <w:tcPr>
            <w:tcW w:w="1392" w:type="dxa"/>
            <w:tcBorders>
              <w:top w:val="double" w:sz="4" w:space="0" w:color="auto"/>
            </w:tcBorders>
            <w:vAlign w:val="center"/>
          </w:tcPr>
          <w:p w:rsidR="007F59A7" w:rsidRPr="00FD2BAF" w:rsidRDefault="007F59A7" w:rsidP="00B91512">
            <w:pPr>
              <w:jc w:val="center"/>
              <w:textAlignment w:val="baseline"/>
              <w:rPr>
                <w:rFonts w:cs="Arial"/>
                <w:b/>
                <w:sz w:val="20"/>
              </w:rPr>
            </w:pPr>
            <w:r w:rsidRPr="00FD2BAF">
              <w:rPr>
                <w:rFonts w:cs="Arial"/>
                <w:b/>
                <w:color w:val="000000"/>
                <w:kern w:val="24"/>
                <w:sz w:val="20"/>
              </w:rPr>
              <w:t xml:space="preserve">Per </w:t>
            </w:r>
            <w:r>
              <w:rPr>
                <w:rFonts w:cs="Arial"/>
                <w:b/>
                <w:color w:val="000000"/>
                <w:kern w:val="24"/>
                <w:sz w:val="20"/>
              </w:rPr>
              <w:br/>
            </w:r>
            <w:r w:rsidRPr="00FD2BAF">
              <w:rPr>
                <w:rFonts w:cs="Arial"/>
                <w:b/>
                <w:color w:val="000000"/>
                <w:kern w:val="24"/>
                <w:sz w:val="20"/>
              </w:rPr>
              <w:t>protocol</w:t>
            </w:r>
          </w:p>
        </w:tc>
        <w:tc>
          <w:tcPr>
            <w:tcW w:w="1456" w:type="dxa"/>
            <w:tcBorders>
              <w:top w:val="double" w:sz="4" w:space="0" w:color="auto"/>
              <w:right w:val="double" w:sz="4" w:space="0" w:color="auto"/>
            </w:tcBorders>
            <w:shd w:val="clear" w:color="auto" w:fill="auto"/>
            <w:tcMar>
              <w:top w:w="72" w:type="dxa"/>
              <w:left w:w="144" w:type="dxa"/>
              <w:bottom w:w="72" w:type="dxa"/>
              <w:right w:w="144" w:type="dxa"/>
            </w:tcMar>
            <w:vAlign w:val="center"/>
            <w:hideMark/>
          </w:tcPr>
          <w:p w:rsidR="007F59A7" w:rsidRPr="00FD2BAF" w:rsidRDefault="007F59A7" w:rsidP="00EC1C7B">
            <w:pPr>
              <w:jc w:val="center"/>
              <w:rPr>
                <w:b/>
              </w:rPr>
            </w:pPr>
            <w:r w:rsidRPr="00FD2BAF">
              <w:rPr>
                <w:rFonts w:cs="Arial"/>
                <w:b/>
                <w:color w:val="000000"/>
                <w:kern w:val="24"/>
                <w:sz w:val="20"/>
              </w:rPr>
              <w:t>Per protocol</w:t>
            </w:r>
          </w:p>
        </w:tc>
      </w:tr>
      <w:tr w:rsidR="007F59A7" w:rsidRPr="009D0FCA" w:rsidTr="0085045B">
        <w:trPr>
          <w:cantSplit/>
          <w:trHeight w:val="625"/>
        </w:trPr>
        <w:tc>
          <w:tcPr>
            <w:tcW w:w="1044" w:type="dxa"/>
            <w:tcBorders>
              <w:right w:val="double" w:sz="4" w:space="0" w:color="auto"/>
            </w:tcBorders>
            <w:shd w:val="pct10" w:color="auto" w:fill="auto"/>
            <w:tcMar>
              <w:top w:w="72" w:type="dxa"/>
              <w:left w:w="144" w:type="dxa"/>
              <w:bottom w:w="72" w:type="dxa"/>
              <w:right w:w="144" w:type="dxa"/>
            </w:tcMar>
            <w:vAlign w:val="center"/>
            <w:hideMark/>
          </w:tcPr>
          <w:p w:rsidR="007F59A7" w:rsidRPr="009D0FCA" w:rsidRDefault="007F59A7" w:rsidP="0085045B">
            <w:pPr>
              <w:ind w:left="-90"/>
              <w:jc w:val="center"/>
              <w:textAlignment w:val="baseline"/>
              <w:rPr>
                <w:rFonts w:cs="Arial"/>
                <w:sz w:val="20"/>
              </w:rPr>
            </w:pPr>
            <w:r w:rsidRPr="009D0FCA">
              <w:rPr>
                <w:rFonts w:cs="Arial"/>
                <w:b/>
                <w:bCs/>
                <w:color w:val="000000"/>
                <w:kern w:val="24"/>
                <w:sz w:val="20"/>
              </w:rPr>
              <w:t>IRB</w:t>
            </w:r>
            <w:r w:rsidRPr="009D0FCA">
              <w:rPr>
                <w:rFonts w:cs="Arial"/>
                <w:b/>
                <w:bCs/>
                <w:color w:val="000000"/>
                <w:kern w:val="24"/>
                <w:sz w:val="20"/>
                <w:vertAlign w:val="superscript"/>
              </w:rPr>
              <w:t>2</w:t>
            </w:r>
            <w:r w:rsidRPr="009D0FCA">
              <w:rPr>
                <w:rFonts w:cs="Arial"/>
                <w:color w:val="000000"/>
                <w:kern w:val="24"/>
                <w:sz w:val="20"/>
              </w:rPr>
              <w:t xml:space="preserve"> </w:t>
            </w:r>
          </w:p>
        </w:tc>
        <w:tc>
          <w:tcPr>
            <w:tcW w:w="2700" w:type="dxa"/>
            <w:tcBorders>
              <w:top w:val="single" w:sz="8" w:space="0" w:color="000000"/>
              <w:left w:val="double" w:sz="4" w:space="0" w:color="auto"/>
              <w:bottom w:val="single" w:sz="8" w:space="0" w:color="000000"/>
              <w:right w:val="single" w:sz="8" w:space="0" w:color="000000"/>
            </w:tcBorders>
            <w:shd w:val="clear" w:color="auto" w:fill="auto"/>
            <w:tcMar>
              <w:top w:w="72" w:type="dxa"/>
              <w:left w:w="144" w:type="dxa"/>
              <w:bottom w:w="72" w:type="dxa"/>
              <w:right w:w="144" w:type="dxa"/>
            </w:tcMar>
            <w:vAlign w:val="center"/>
          </w:tcPr>
          <w:p w:rsidR="007F59A7" w:rsidRDefault="007F59A7" w:rsidP="00F57EAA">
            <w:pPr>
              <w:jc w:val="center"/>
            </w:pPr>
            <w:r w:rsidRPr="00FD2BAF">
              <w:rPr>
                <w:rFonts w:cs="Arial"/>
                <w:b/>
                <w:sz w:val="20"/>
              </w:rPr>
              <w:t>Not Reportable</w:t>
            </w:r>
            <w:r>
              <w:rPr>
                <w:rFonts w:cs="Arial"/>
                <w:sz w:val="20"/>
              </w:rPr>
              <w:t xml:space="preserve"> </w:t>
            </w:r>
            <w:r>
              <w:rPr>
                <w:rFonts w:cs="Arial"/>
                <w:sz w:val="20"/>
              </w:rPr>
              <w:br/>
            </w:r>
            <w:r w:rsidRPr="00CC6DE2">
              <w:rPr>
                <w:rFonts w:cs="Arial"/>
                <w:i/>
                <w:sz w:val="16"/>
                <w:szCs w:val="16"/>
              </w:rPr>
              <w:t>(unless sponsor-required)</w:t>
            </w:r>
          </w:p>
        </w:tc>
        <w:tc>
          <w:tcPr>
            <w:tcW w:w="1385" w:type="dxa"/>
            <w:tcBorders>
              <w:top w:val="single" w:sz="8" w:space="0" w:color="000000"/>
              <w:left w:val="single" w:sz="8" w:space="0" w:color="000000"/>
              <w:bottom w:val="single" w:sz="8" w:space="0" w:color="000000"/>
            </w:tcBorders>
            <w:shd w:val="clear" w:color="auto" w:fill="auto"/>
            <w:tcMar>
              <w:top w:w="72" w:type="dxa"/>
              <w:left w:w="144" w:type="dxa"/>
              <w:bottom w:w="72" w:type="dxa"/>
              <w:right w:w="144" w:type="dxa"/>
            </w:tcMar>
            <w:vAlign w:val="center"/>
          </w:tcPr>
          <w:p w:rsidR="007F59A7" w:rsidRDefault="007F59A7" w:rsidP="00F57EAA">
            <w:pPr>
              <w:jc w:val="center"/>
            </w:pPr>
            <w:r w:rsidRPr="00DF6C9D">
              <w:rPr>
                <w:rFonts w:cs="Arial"/>
                <w:b/>
                <w:sz w:val="20"/>
              </w:rPr>
              <w:t>Not Reportable</w:t>
            </w:r>
            <w:r w:rsidRPr="00DF6C9D">
              <w:rPr>
                <w:rFonts w:cs="Arial"/>
                <w:sz w:val="20"/>
              </w:rPr>
              <w:t xml:space="preserve"> </w:t>
            </w:r>
            <w:r w:rsidRPr="00CC6DE2">
              <w:rPr>
                <w:rFonts w:cs="Arial"/>
                <w:i/>
                <w:sz w:val="16"/>
                <w:szCs w:val="16"/>
              </w:rPr>
              <w:t>(unless sponsor- required)</w:t>
            </w:r>
          </w:p>
        </w:tc>
        <w:tc>
          <w:tcPr>
            <w:tcW w:w="1357" w:type="dxa"/>
            <w:tcBorders>
              <w:top w:val="single" w:sz="8" w:space="0" w:color="000000"/>
              <w:left w:val="single" w:sz="8" w:space="0" w:color="000000"/>
              <w:bottom w:val="single" w:sz="8" w:space="0" w:color="000000"/>
            </w:tcBorders>
            <w:shd w:val="clear" w:color="auto" w:fill="auto"/>
            <w:vAlign w:val="center"/>
          </w:tcPr>
          <w:p w:rsidR="007F59A7" w:rsidRDefault="007F59A7" w:rsidP="00CC6DE2">
            <w:pPr>
              <w:jc w:val="center"/>
            </w:pPr>
            <w:r w:rsidRPr="00E25D2D">
              <w:rPr>
                <w:rFonts w:cs="Arial"/>
                <w:b/>
                <w:color w:val="FF0000"/>
                <w:sz w:val="20"/>
              </w:rPr>
              <w:t>10 working days</w:t>
            </w:r>
            <w:r w:rsidRPr="00F22941">
              <w:rPr>
                <w:rFonts w:cs="Arial"/>
                <w:sz w:val="20"/>
              </w:rPr>
              <w:t xml:space="preserve"> </w:t>
            </w:r>
            <w:r>
              <w:rPr>
                <w:rFonts w:cs="Arial"/>
                <w:sz w:val="20"/>
              </w:rPr>
              <w:br/>
            </w:r>
            <w:r>
              <w:rPr>
                <w:rFonts w:cs="Arial"/>
                <w:i/>
                <w:sz w:val="16"/>
                <w:szCs w:val="16"/>
              </w:rPr>
              <w:t>(</w:t>
            </w:r>
            <w:r w:rsidRPr="003F1BD8">
              <w:rPr>
                <w:rFonts w:cs="Arial"/>
                <w:i/>
                <w:sz w:val="16"/>
                <w:szCs w:val="16"/>
              </w:rPr>
              <w:t xml:space="preserve">or per protocol </w:t>
            </w:r>
            <w:r>
              <w:rPr>
                <w:rFonts w:cs="Arial"/>
                <w:i/>
                <w:sz w:val="16"/>
                <w:szCs w:val="16"/>
              </w:rPr>
              <w:t xml:space="preserve">- </w:t>
            </w:r>
            <w:r w:rsidRPr="00CC6DE2">
              <w:rPr>
                <w:rFonts w:cs="Arial"/>
                <w:i/>
                <w:sz w:val="16"/>
                <w:szCs w:val="16"/>
              </w:rPr>
              <w:t>adhere to whichever requirement is stricter)</w:t>
            </w:r>
          </w:p>
        </w:tc>
        <w:tc>
          <w:tcPr>
            <w:tcW w:w="1517" w:type="dxa"/>
            <w:shd w:val="clear" w:color="auto" w:fill="auto"/>
            <w:tcMar>
              <w:top w:w="72" w:type="dxa"/>
              <w:left w:w="144" w:type="dxa"/>
              <w:bottom w:w="72" w:type="dxa"/>
              <w:right w:w="144" w:type="dxa"/>
            </w:tcMar>
            <w:vAlign w:val="center"/>
            <w:hideMark/>
          </w:tcPr>
          <w:p w:rsidR="007F59A7" w:rsidRDefault="007F59A7" w:rsidP="00FD2BAF">
            <w:pPr>
              <w:jc w:val="center"/>
            </w:pPr>
            <w:r w:rsidRPr="00E25D2D">
              <w:rPr>
                <w:rFonts w:cs="Arial"/>
                <w:b/>
                <w:color w:val="FF0000"/>
                <w:sz w:val="20"/>
              </w:rPr>
              <w:t>10 working days</w:t>
            </w:r>
            <w:r w:rsidRPr="00F22941">
              <w:rPr>
                <w:rFonts w:cs="Arial"/>
                <w:sz w:val="20"/>
              </w:rPr>
              <w:t xml:space="preserve"> </w:t>
            </w:r>
            <w:r>
              <w:rPr>
                <w:rFonts w:cs="Arial"/>
                <w:sz w:val="20"/>
              </w:rPr>
              <w:br/>
            </w:r>
            <w:r>
              <w:rPr>
                <w:rFonts w:cs="Arial"/>
                <w:i/>
                <w:sz w:val="16"/>
                <w:szCs w:val="16"/>
              </w:rPr>
              <w:t>(</w:t>
            </w:r>
            <w:r w:rsidRPr="003F1BD8">
              <w:rPr>
                <w:rFonts w:cs="Arial"/>
                <w:i/>
                <w:sz w:val="16"/>
                <w:szCs w:val="16"/>
              </w:rPr>
              <w:t xml:space="preserve">or per protocol </w:t>
            </w:r>
            <w:r>
              <w:rPr>
                <w:rFonts w:cs="Arial"/>
                <w:i/>
                <w:sz w:val="16"/>
                <w:szCs w:val="16"/>
              </w:rPr>
              <w:t xml:space="preserve">- </w:t>
            </w:r>
            <w:r w:rsidRPr="00CC6DE2">
              <w:rPr>
                <w:rFonts w:cs="Arial"/>
                <w:i/>
                <w:sz w:val="16"/>
                <w:szCs w:val="16"/>
              </w:rPr>
              <w:t>adhere to whichever requirement is stricter)</w:t>
            </w:r>
          </w:p>
        </w:tc>
        <w:tc>
          <w:tcPr>
            <w:tcW w:w="1452" w:type="dxa"/>
            <w:vAlign w:val="center"/>
          </w:tcPr>
          <w:p w:rsidR="007F59A7" w:rsidRPr="00535F97" w:rsidRDefault="007F59A7" w:rsidP="00FD2BAF">
            <w:pPr>
              <w:jc w:val="center"/>
              <w:textAlignment w:val="baseline"/>
              <w:rPr>
                <w:rFonts w:cs="Arial"/>
                <w:color w:val="000000"/>
                <w:kern w:val="24"/>
                <w:sz w:val="20"/>
              </w:rPr>
            </w:pPr>
            <w:r w:rsidRPr="00E25D2D">
              <w:rPr>
                <w:rFonts w:cs="Arial"/>
                <w:b/>
                <w:i/>
                <w:color w:val="FF0000"/>
                <w:sz w:val="20"/>
              </w:rPr>
              <w:t>3 working days</w:t>
            </w:r>
            <w:r>
              <w:rPr>
                <w:rFonts w:cs="Arial"/>
                <w:sz w:val="20"/>
              </w:rPr>
              <w:t xml:space="preserve"> </w:t>
            </w:r>
            <w:r>
              <w:rPr>
                <w:rFonts w:cs="Arial"/>
                <w:sz w:val="20"/>
              </w:rPr>
              <w:br/>
            </w:r>
            <w:r>
              <w:rPr>
                <w:rFonts w:cs="Arial"/>
                <w:i/>
                <w:sz w:val="16"/>
                <w:szCs w:val="16"/>
              </w:rPr>
              <w:t>(</w:t>
            </w:r>
            <w:r w:rsidRPr="003F1BD8">
              <w:rPr>
                <w:rFonts w:cs="Arial"/>
                <w:i/>
                <w:sz w:val="16"/>
                <w:szCs w:val="16"/>
              </w:rPr>
              <w:t xml:space="preserve">or per protocol </w:t>
            </w:r>
            <w:r>
              <w:rPr>
                <w:rFonts w:cs="Arial"/>
                <w:i/>
                <w:sz w:val="16"/>
                <w:szCs w:val="16"/>
              </w:rPr>
              <w:t xml:space="preserve">- </w:t>
            </w:r>
            <w:r w:rsidRPr="00CC6DE2">
              <w:rPr>
                <w:rFonts w:cs="Arial"/>
                <w:i/>
                <w:sz w:val="16"/>
                <w:szCs w:val="16"/>
              </w:rPr>
              <w:t>adhere to whichever requirement is stricter)</w:t>
            </w:r>
          </w:p>
        </w:tc>
        <w:tc>
          <w:tcPr>
            <w:tcW w:w="1392" w:type="dxa"/>
            <w:vAlign w:val="center"/>
          </w:tcPr>
          <w:p w:rsidR="007F59A7" w:rsidRDefault="007F59A7" w:rsidP="00B91512">
            <w:pPr>
              <w:jc w:val="center"/>
            </w:pPr>
            <w:r w:rsidRPr="00E25D2D">
              <w:rPr>
                <w:rFonts w:cs="Arial"/>
                <w:b/>
                <w:color w:val="FF0000"/>
                <w:sz w:val="20"/>
              </w:rPr>
              <w:t>10 working days</w:t>
            </w:r>
            <w:r w:rsidRPr="00F22941">
              <w:rPr>
                <w:rFonts w:cs="Arial"/>
                <w:sz w:val="20"/>
              </w:rPr>
              <w:t xml:space="preserve"> </w:t>
            </w:r>
            <w:r>
              <w:rPr>
                <w:rFonts w:cs="Arial"/>
                <w:sz w:val="20"/>
              </w:rPr>
              <w:br/>
            </w:r>
            <w:r>
              <w:rPr>
                <w:rFonts w:cs="Arial"/>
                <w:i/>
                <w:sz w:val="16"/>
                <w:szCs w:val="16"/>
              </w:rPr>
              <w:t>(</w:t>
            </w:r>
            <w:r w:rsidRPr="003F1BD8">
              <w:rPr>
                <w:rFonts w:cs="Arial"/>
                <w:i/>
                <w:sz w:val="16"/>
                <w:szCs w:val="16"/>
              </w:rPr>
              <w:t xml:space="preserve">or per protocol </w:t>
            </w:r>
            <w:r>
              <w:rPr>
                <w:rFonts w:cs="Arial"/>
                <w:i/>
                <w:sz w:val="16"/>
                <w:szCs w:val="16"/>
              </w:rPr>
              <w:t xml:space="preserve">- </w:t>
            </w:r>
            <w:r w:rsidRPr="00CC6DE2">
              <w:rPr>
                <w:rFonts w:cs="Arial"/>
                <w:i/>
                <w:sz w:val="16"/>
                <w:szCs w:val="16"/>
              </w:rPr>
              <w:t>adhere to whichever requirement is stricter)</w:t>
            </w:r>
          </w:p>
        </w:tc>
        <w:tc>
          <w:tcPr>
            <w:tcW w:w="1392" w:type="dxa"/>
            <w:vAlign w:val="center"/>
          </w:tcPr>
          <w:p w:rsidR="007F59A7" w:rsidRPr="00535F97" w:rsidRDefault="007F59A7" w:rsidP="00B91512">
            <w:pPr>
              <w:jc w:val="center"/>
              <w:textAlignment w:val="baseline"/>
              <w:rPr>
                <w:rFonts w:cs="Arial"/>
                <w:color w:val="000000"/>
                <w:kern w:val="24"/>
                <w:sz w:val="20"/>
              </w:rPr>
            </w:pPr>
            <w:r w:rsidRPr="00E25D2D">
              <w:rPr>
                <w:rFonts w:cs="Arial"/>
                <w:b/>
                <w:i/>
                <w:color w:val="FF0000"/>
                <w:sz w:val="20"/>
              </w:rPr>
              <w:t>3 working days</w:t>
            </w:r>
            <w:r>
              <w:rPr>
                <w:rFonts w:cs="Arial"/>
                <w:sz w:val="20"/>
              </w:rPr>
              <w:t xml:space="preserve"> </w:t>
            </w:r>
            <w:r>
              <w:rPr>
                <w:rFonts w:cs="Arial"/>
                <w:sz w:val="20"/>
              </w:rPr>
              <w:br/>
            </w:r>
            <w:r>
              <w:rPr>
                <w:rFonts w:cs="Arial"/>
                <w:i/>
                <w:sz w:val="16"/>
                <w:szCs w:val="16"/>
              </w:rPr>
              <w:t>(</w:t>
            </w:r>
            <w:r w:rsidRPr="003F1BD8">
              <w:rPr>
                <w:rFonts w:cs="Arial"/>
                <w:i/>
                <w:sz w:val="16"/>
                <w:szCs w:val="16"/>
              </w:rPr>
              <w:t xml:space="preserve">or per protocol </w:t>
            </w:r>
            <w:r>
              <w:rPr>
                <w:rFonts w:cs="Arial"/>
                <w:i/>
                <w:sz w:val="16"/>
                <w:szCs w:val="16"/>
              </w:rPr>
              <w:t xml:space="preserve">- </w:t>
            </w:r>
            <w:r w:rsidRPr="00CC6DE2">
              <w:rPr>
                <w:rFonts w:cs="Arial"/>
                <w:i/>
                <w:sz w:val="16"/>
                <w:szCs w:val="16"/>
              </w:rPr>
              <w:t>adhere to whichever requirement is stricter)</w:t>
            </w:r>
          </w:p>
        </w:tc>
        <w:tc>
          <w:tcPr>
            <w:tcW w:w="1456" w:type="dxa"/>
            <w:tcBorders>
              <w:right w:val="double" w:sz="4" w:space="0" w:color="auto"/>
            </w:tcBorders>
            <w:shd w:val="clear" w:color="auto" w:fill="auto"/>
            <w:tcMar>
              <w:top w:w="72" w:type="dxa"/>
              <w:left w:w="144" w:type="dxa"/>
              <w:bottom w:w="72" w:type="dxa"/>
              <w:right w:w="144" w:type="dxa"/>
            </w:tcMar>
            <w:vAlign w:val="center"/>
            <w:hideMark/>
          </w:tcPr>
          <w:p w:rsidR="007F59A7" w:rsidRPr="00FD2BAF" w:rsidRDefault="007F59A7" w:rsidP="00A0514E">
            <w:pPr>
              <w:jc w:val="center"/>
              <w:textAlignment w:val="baseline"/>
              <w:rPr>
                <w:rFonts w:cs="Arial"/>
                <w:b/>
                <w:sz w:val="20"/>
              </w:rPr>
            </w:pPr>
            <w:r w:rsidRPr="005F0A84">
              <w:rPr>
                <w:rFonts w:cs="Arial"/>
                <w:b/>
                <w:color w:val="FF0000"/>
                <w:kern w:val="24"/>
                <w:sz w:val="20"/>
              </w:rPr>
              <w:t>15 calendar</w:t>
            </w:r>
            <w:r w:rsidRPr="005F0A84">
              <w:rPr>
                <w:rFonts w:cs="Arial"/>
                <w:b/>
                <w:color w:val="FF0000"/>
                <w:sz w:val="20"/>
              </w:rPr>
              <w:t xml:space="preserve"> days</w:t>
            </w:r>
            <w:r w:rsidRPr="005F0A84">
              <w:rPr>
                <w:rFonts w:cs="Arial"/>
                <w:b/>
                <w:color w:val="FF0000"/>
                <w:kern w:val="24"/>
                <w:sz w:val="20"/>
              </w:rPr>
              <w:t xml:space="preserve"> </w:t>
            </w:r>
          </w:p>
        </w:tc>
      </w:tr>
      <w:tr w:rsidR="007F59A7" w:rsidRPr="009D0FCA" w:rsidTr="0085045B">
        <w:trPr>
          <w:cantSplit/>
          <w:trHeight w:val="576"/>
        </w:trPr>
        <w:tc>
          <w:tcPr>
            <w:tcW w:w="1044" w:type="dxa"/>
            <w:tcBorders>
              <w:right w:val="double" w:sz="4" w:space="0" w:color="auto"/>
            </w:tcBorders>
            <w:shd w:val="pct10" w:color="auto" w:fill="auto"/>
            <w:tcMar>
              <w:top w:w="72" w:type="dxa"/>
              <w:left w:w="144" w:type="dxa"/>
              <w:bottom w:w="72" w:type="dxa"/>
              <w:right w:w="144" w:type="dxa"/>
            </w:tcMar>
            <w:vAlign w:val="center"/>
            <w:hideMark/>
          </w:tcPr>
          <w:p w:rsidR="007F59A7" w:rsidRPr="009D0FCA" w:rsidRDefault="007F59A7" w:rsidP="0085045B">
            <w:pPr>
              <w:ind w:left="-90"/>
              <w:jc w:val="center"/>
              <w:textAlignment w:val="baseline"/>
              <w:rPr>
                <w:rFonts w:cs="Arial"/>
                <w:sz w:val="20"/>
              </w:rPr>
            </w:pPr>
            <w:r w:rsidRPr="009D0FCA">
              <w:rPr>
                <w:rFonts w:cs="Arial"/>
                <w:b/>
                <w:bCs/>
                <w:color w:val="000000"/>
                <w:kern w:val="24"/>
                <w:sz w:val="20"/>
              </w:rPr>
              <w:t>FDA</w:t>
            </w:r>
            <w:r w:rsidR="0085045B">
              <w:rPr>
                <w:rFonts w:cs="Arial"/>
                <w:b/>
                <w:bCs/>
                <w:color w:val="000000"/>
                <w:kern w:val="24"/>
                <w:sz w:val="20"/>
                <w:vertAlign w:val="superscript"/>
              </w:rPr>
              <w:t>3</w:t>
            </w:r>
            <w:r w:rsidRPr="009D0FCA">
              <w:rPr>
                <w:rFonts w:cs="Arial"/>
                <w:color w:val="000000"/>
                <w:kern w:val="24"/>
                <w:sz w:val="20"/>
              </w:rPr>
              <w:t xml:space="preserve"> </w:t>
            </w:r>
          </w:p>
        </w:tc>
        <w:tc>
          <w:tcPr>
            <w:tcW w:w="2700" w:type="dxa"/>
            <w:tcBorders>
              <w:top w:val="single" w:sz="8" w:space="0" w:color="000000"/>
              <w:left w:val="double" w:sz="4" w:space="0" w:color="auto"/>
              <w:bottom w:val="single" w:sz="8" w:space="0" w:color="000000"/>
              <w:right w:val="single" w:sz="8" w:space="0" w:color="000000"/>
            </w:tcBorders>
            <w:shd w:val="clear" w:color="auto" w:fill="auto"/>
            <w:tcMar>
              <w:top w:w="72" w:type="dxa"/>
              <w:left w:w="144" w:type="dxa"/>
              <w:bottom w:w="72" w:type="dxa"/>
              <w:right w:w="144" w:type="dxa"/>
            </w:tcMar>
            <w:vAlign w:val="center"/>
          </w:tcPr>
          <w:p w:rsidR="007F59A7" w:rsidRPr="00FD2BAF" w:rsidRDefault="007F59A7" w:rsidP="007253CE">
            <w:pPr>
              <w:jc w:val="center"/>
              <w:textAlignment w:val="baseline"/>
              <w:rPr>
                <w:rFonts w:cs="Arial"/>
                <w:b/>
                <w:sz w:val="20"/>
              </w:rPr>
            </w:pPr>
            <w:r w:rsidRPr="00FD2BAF">
              <w:rPr>
                <w:rFonts w:cs="Arial"/>
                <w:b/>
                <w:color w:val="000000"/>
                <w:kern w:val="24"/>
                <w:sz w:val="20"/>
              </w:rPr>
              <w:t xml:space="preserve">Annual Report </w:t>
            </w:r>
            <w:r>
              <w:rPr>
                <w:rFonts w:cs="Arial"/>
                <w:b/>
                <w:color w:val="000000"/>
                <w:kern w:val="24"/>
                <w:sz w:val="20"/>
              </w:rPr>
              <w:br/>
            </w:r>
            <w:r w:rsidRPr="00CC6DE2">
              <w:rPr>
                <w:rFonts w:cs="Arial"/>
                <w:i/>
                <w:sz w:val="16"/>
                <w:szCs w:val="16"/>
              </w:rPr>
              <w:t>(unless otherwise instructed)</w:t>
            </w:r>
          </w:p>
        </w:tc>
        <w:tc>
          <w:tcPr>
            <w:tcW w:w="1385" w:type="dxa"/>
            <w:tcBorders>
              <w:top w:val="single" w:sz="8" w:space="0" w:color="000000"/>
              <w:left w:val="single" w:sz="8" w:space="0" w:color="000000"/>
              <w:bottom w:val="single" w:sz="8" w:space="0" w:color="000000"/>
            </w:tcBorders>
            <w:shd w:val="clear" w:color="auto" w:fill="auto"/>
            <w:tcMar>
              <w:top w:w="72" w:type="dxa"/>
              <w:left w:w="144" w:type="dxa"/>
              <w:bottom w:w="72" w:type="dxa"/>
              <w:right w:w="144" w:type="dxa"/>
            </w:tcMar>
            <w:vAlign w:val="center"/>
          </w:tcPr>
          <w:p w:rsidR="007F59A7" w:rsidRDefault="007F59A7" w:rsidP="007253CE">
            <w:pPr>
              <w:jc w:val="center"/>
              <w:textAlignment w:val="baseline"/>
              <w:rPr>
                <w:rFonts w:cs="Arial"/>
                <w:b/>
                <w:color w:val="000000"/>
                <w:kern w:val="24"/>
                <w:sz w:val="20"/>
              </w:rPr>
            </w:pPr>
            <w:r w:rsidRPr="00FD2BAF">
              <w:rPr>
                <w:rFonts w:cs="Arial"/>
                <w:b/>
                <w:color w:val="000000"/>
                <w:kern w:val="24"/>
                <w:sz w:val="20"/>
              </w:rPr>
              <w:t xml:space="preserve">Annual </w:t>
            </w:r>
            <w:r w:rsidRPr="00FD2BAF">
              <w:rPr>
                <w:rFonts w:cs="Arial"/>
                <w:b/>
                <w:color w:val="000000"/>
                <w:kern w:val="24"/>
                <w:sz w:val="20"/>
              </w:rPr>
              <w:br/>
              <w:t>Report</w:t>
            </w:r>
          </w:p>
          <w:p w:rsidR="007F59A7" w:rsidRPr="00FD2BAF" w:rsidRDefault="007F59A7" w:rsidP="007253CE">
            <w:pPr>
              <w:jc w:val="center"/>
              <w:textAlignment w:val="baseline"/>
              <w:rPr>
                <w:rFonts w:cs="Arial"/>
                <w:b/>
                <w:sz w:val="20"/>
              </w:rPr>
            </w:pPr>
            <w:r w:rsidRPr="00CC6DE2">
              <w:rPr>
                <w:rFonts w:cs="Arial"/>
                <w:i/>
                <w:sz w:val="16"/>
                <w:szCs w:val="16"/>
              </w:rPr>
              <w:t>(unless otherwise instructed)</w:t>
            </w:r>
          </w:p>
        </w:tc>
        <w:tc>
          <w:tcPr>
            <w:tcW w:w="1357" w:type="dxa"/>
            <w:tcBorders>
              <w:top w:val="single" w:sz="8" w:space="0" w:color="000000"/>
              <w:left w:val="single" w:sz="8" w:space="0" w:color="000000"/>
              <w:bottom w:val="single" w:sz="8" w:space="0" w:color="000000"/>
            </w:tcBorders>
            <w:shd w:val="clear" w:color="auto" w:fill="auto"/>
            <w:vAlign w:val="center"/>
          </w:tcPr>
          <w:p w:rsidR="007F59A7" w:rsidRPr="009D0FCA" w:rsidRDefault="007F59A7" w:rsidP="007253CE">
            <w:pPr>
              <w:jc w:val="center"/>
              <w:textAlignment w:val="baseline"/>
              <w:rPr>
                <w:rFonts w:cs="Arial"/>
                <w:sz w:val="20"/>
              </w:rPr>
            </w:pPr>
            <w:r w:rsidRPr="00E25D2D">
              <w:rPr>
                <w:rFonts w:cs="Arial"/>
                <w:b/>
                <w:color w:val="FF0000"/>
                <w:sz w:val="20"/>
              </w:rPr>
              <w:t>15 calendar days</w:t>
            </w:r>
            <w:r w:rsidRPr="009D0FCA">
              <w:rPr>
                <w:rFonts w:cs="Arial"/>
                <w:color w:val="000000"/>
                <w:kern w:val="24"/>
                <w:sz w:val="20"/>
              </w:rPr>
              <w:t xml:space="preserve"> </w:t>
            </w:r>
            <w:r w:rsidRPr="009D0FCA">
              <w:rPr>
                <w:rFonts w:cs="Arial"/>
                <w:color w:val="000000"/>
                <w:kern w:val="24"/>
                <w:sz w:val="20"/>
              </w:rPr>
              <w:br/>
            </w:r>
            <w:r w:rsidRPr="00CC6DE2">
              <w:rPr>
                <w:rFonts w:cs="Arial"/>
                <w:i/>
                <w:sz w:val="16"/>
                <w:szCs w:val="16"/>
              </w:rPr>
              <w:t>(written report)</w:t>
            </w:r>
            <w:r w:rsidRPr="009D0FCA">
              <w:rPr>
                <w:rFonts w:cs="Arial"/>
                <w:color w:val="000000"/>
                <w:kern w:val="24"/>
                <w:sz w:val="20"/>
              </w:rPr>
              <w:t xml:space="preserve"> </w:t>
            </w:r>
          </w:p>
        </w:tc>
        <w:tc>
          <w:tcPr>
            <w:tcW w:w="1517" w:type="dxa"/>
            <w:shd w:val="clear" w:color="auto" w:fill="auto"/>
            <w:tcMar>
              <w:top w:w="72" w:type="dxa"/>
              <w:left w:w="144" w:type="dxa"/>
              <w:bottom w:w="72" w:type="dxa"/>
              <w:right w:w="144" w:type="dxa"/>
            </w:tcMar>
            <w:vAlign w:val="center"/>
            <w:hideMark/>
          </w:tcPr>
          <w:p w:rsidR="007F59A7" w:rsidRDefault="007F59A7" w:rsidP="00884DED">
            <w:pPr>
              <w:jc w:val="center"/>
              <w:textAlignment w:val="baseline"/>
              <w:rPr>
                <w:rFonts w:cs="Arial"/>
                <w:b/>
                <w:color w:val="000000"/>
                <w:kern w:val="24"/>
                <w:sz w:val="20"/>
              </w:rPr>
            </w:pPr>
            <w:r w:rsidRPr="00FD2BAF">
              <w:rPr>
                <w:rFonts w:cs="Arial"/>
                <w:b/>
                <w:color w:val="000000"/>
                <w:kern w:val="24"/>
                <w:sz w:val="20"/>
              </w:rPr>
              <w:t xml:space="preserve">Annual </w:t>
            </w:r>
            <w:r w:rsidRPr="00FD2BAF">
              <w:rPr>
                <w:rFonts w:cs="Arial"/>
                <w:b/>
                <w:color w:val="000000"/>
                <w:kern w:val="24"/>
                <w:sz w:val="20"/>
              </w:rPr>
              <w:br/>
              <w:t>Report</w:t>
            </w:r>
          </w:p>
          <w:p w:rsidR="007F59A7" w:rsidRPr="009D0FCA" w:rsidRDefault="007F59A7" w:rsidP="00884DED">
            <w:pPr>
              <w:jc w:val="center"/>
              <w:textAlignment w:val="baseline"/>
              <w:rPr>
                <w:rFonts w:cs="Arial"/>
                <w:sz w:val="20"/>
              </w:rPr>
            </w:pPr>
            <w:r w:rsidRPr="00CC6DE2">
              <w:rPr>
                <w:rFonts w:cs="Arial"/>
                <w:i/>
                <w:sz w:val="16"/>
                <w:szCs w:val="16"/>
              </w:rPr>
              <w:t>(unless otherwise instructed)</w:t>
            </w:r>
          </w:p>
        </w:tc>
        <w:tc>
          <w:tcPr>
            <w:tcW w:w="1452" w:type="dxa"/>
            <w:vAlign w:val="center"/>
          </w:tcPr>
          <w:p w:rsidR="007F59A7" w:rsidRDefault="007F59A7" w:rsidP="007253CE">
            <w:pPr>
              <w:jc w:val="center"/>
              <w:textAlignment w:val="baseline"/>
              <w:rPr>
                <w:rFonts w:cs="Arial"/>
                <w:b/>
                <w:color w:val="000000"/>
                <w:kern w:val="24"/>
                <w:sz w:val="20"/>
              </w:rPr>
            </w:pPr>
            <w:r w:rsidRPr="00FD2BAF">
              <w:rPr>
                <w:rFonts w:cs="Arial"/>
                <w:b/>
                <w:color w:val="000000"/>
                <w:kern w:val="24"/>
                <w:sz w:val="20"/>
              </w:rPr>
              <w:t xml:space="preserve">Annual </w:t>
            </w:r>
            <w:r w:rsidRPr="00FD2BAF">
              <w:rPr>
                <w:rFonts w:cs="Arial"/>
                <w:b/>
                <w:color w:val="000000"/>
                <w:kern w:val="24"/>
                <w:sz w:val="20"/>
              </w:rPr>
              <w:br/>
              <w:t>Report</w:t>
            </w:r>
          </w:p>
          <w:p w:rsidR="007F59A7" w:rsidRPr="009D0FCA" w:rsidRDefault="007F59A7" w:rsidP="007253CE">
            <w:pPr>
              <w:jc w:val="center"/>
              <w:textAlignment w:val="baseline"/>
              <w:rPr>
                <w:rFonts w:cs="Arial"/>
                <w:sz w:val="20"/>
              </w:rPr>
            </w:pPr>
            <w:r w:rsidRPr="00CC6DE2">
              <w:rPr>
                <w:rFonts w:cs="Arial"/>
                <w:i/>
                <w:sz w:val="16"/>
                <w:szCs w:val="16"/>
              </w:rPr>
              <w:t>(unless otherwise instructed)</w:t>
            </w:r>
            <w:r w:rsidRPr="009D0FCA">
              <w:rPr>
                <w:rFonts w:cs="Arial"/>
                <w:color w:val="000000"/>
                <w:kern w:val="24"/>
                <w:sz w:val="20"/>
              </w:rPr>
              <w:t xml:space="preserve"> </w:t>
            </w:r>
          </w:p>
        </w:tc>
        <w:tc>
          <w:tcPr>
            <w:tcW w:w="1392" w:type="dxa"/>
            <w:vAlign w:val="center"/>
          </w:tcPr>
          <w:p w:rsidR="007F59A7" w:rsidRDefault="007F59A7" w:rsidP="00B91512">
            <w:pPr>
              <w:jc w:val="center"/>
              <w:textAlignment w:val="baseline"/>
              <w:rPr>
                <w:rFonts w:cs="Arial"/>
                <w:b/>
                <w:color w:val="000000"/>
                <w:kern w:val="24"/>
                <w:sz w:val="20"/>
              </w:rPr>
            </w:pPr>
            <w:r w:rsidRPr="00FD2BAF">
              <w:rPr>
                <w:rFonts w:cs="Arial"/>
                <w:b/>
                <w:color w:val="000000"/>
                <w:kern w:val="24"/>
                <w:sz w:val="20"/>
              </w:rPr>
              <w:t xml:space="preserve">Annual </w:t>
            </w:r>
            <w:r w:rsidRPr="00FD2BAF">
              <w:rPr>
                <w:rFonts w:cs="Arial"/>
                <w:b/>
                <w:color w:val="000000"/>
                <w:kern w:val="24"/>
                <w:sz w:val="20"/>
              </w:rPr>
              <w:br/>
              <w:t>Report</w:t>
            </w:r>
          </w:p>
          <w:p w:rsidR="007F59A7" w:rsidRPr="009D0FCA" w:rsidRDefault="007F59A7" w:rsidP="00B91512">
            <w:pPr>
              <w:jc w:val="center"/>
              <w:textAlignment w:val="baseline"/>
              <w:rPr>
                <w:rFonts w:cs="Arial"/>
                <w:sz w:val="20"/>
              </w:rPr>
            </w:pPr>
            <w:r w:rsidRPr="00CC6DE2">
              <w:rPr>
                <w:rFonts w:cs="Arial"/>
                <w:i/>
                <w:sz w:val="16"/>
                <w:szCs w:val="16"/>
              </w:rPr>
              <w:t>(unless otherwise instructed)</w:t>
            </w:r>
          </w:p>
        </w:tc>
        <w:tc>
          <w:tcPr>
            <w:tcW w:w="1392" w:type="dxa"/>
            <w:vAlign w:val="center"/>
          </w:tcPr>
          <w:p w:rsidR="007F59A7" w:rsidRPr="00E25D2D" w:rsidRDefault="007F59A7" w:rsidP="00B91512">
            <w:pPr>
              <w:jc w:val="center"/>
              <w:textAlignment w:val="baseline"/>
              <w:rPr>
                <w:rFonts w:cs="Arial"/>
                <w:b/>
                <w:color w:val="FF0000"/>
                <w:sz w:val="20"/>
              </w:rPr>
            </w:pPr>
            <w:r w:rsidRPr="00E25D2D">
              <w:rPr>
                <w:rFonts w:cs="Arial"/>
                <w:b/>
                <w:color w:val="FF0000"/>
                <w:sz w:val="20"/>
              </w:rPr>
              <w:t xml:space="preserve">7 calendar days </w:t>
            </w:r>
          </w:p>
          <w:p w:rsidR="007F59A7" w:rsidRPr="009D0FCA" w:rsidRDefault="007F59A7" w:rsidP="00B91512">
            <w:pPr>
              <w:jc w:val="center"/>
              <w:textAlignment w:val="baseline"/>
              <w:rPr>
                <w:rFonts w:cs="Arial"/>
                <w:sz w:val="20"/>
              </w:rPr>
            </w:pPr>
            <w:r w:rsidRPr="00CC6DE2">
              <w:rPr>
                <w:rFonts w:cs="Arial"/>
                <w:i/>
                <w:sz w:val="16"/>
                <w:szCs w:val="16"/>
              </w:rPr>
              <w:t xml:space="preserve">(fax or phone) </w:t>
            </w:r>
          </w:p>
        </w:tc>
        <w:tc>
          <w:tcPr>
            <w:tcW w:w="1456" w:type="dxa"/>
            <w:tcBorders>
              <w:right w:val="double" w:sz="4" w:space="0" w:color="auto"/>
            </w:tcBorders>
            <w:shd w:val="clear" w:color="auto" w:fill="auto"/>
            <w:tcMar>
              <w:top w:w="72" w:type="dxa"/>
              <w:left w:w="144" w:type="dxa"/>
              <w:bottom w:w="72" w:type="dxa"/>
              <w:right w:w="144" w:type="dxa"/>
            </w:tcMar>
            <w:vAlign w:val="center"/>
            <w:hideMark/>
          </w:tcPr>
          <w:p w:rsidR="007F59A7" w:rsidRPr="00FD2BAF" w:rsidRDefault="007F59A7" w:rsidP="00D733CB">
            <w:pPr>
              <w:jc w:val="center"/>
              <w:textAlignment w:val="baseline"/>
              <w:rPr>
                <w:rFonts w:cs="Arial"/>
                <w:b/>
                <w:sz w:val="20"/>
              </w:rPr>
            </w:pPr>
            <w:r w:rsidRPr="005F0A84">
              <w:rPr>
                <w:rFonts w:cs="Arial"/>
                <w:b/>
                <w:color w:val="FF0000"/>
                <w:kern w:val="24"/>
                <w:sz w:val="20"/>
              </w:rPr>
              <w:t>ASAP / 15 calendar days</w:t>
            </w:r>
          </w:p>
        </w:tc>
      </w:tr>
      <w:tr w:rsidR="008D2F2A" w:rsidRPr="00CC6DE2" w:rsidTr="0085045B">
        <w:trPr>
          <w:cantSplit/>
          <w:trHeight w:val="340"/>
        </w:trPr>
        <w:tc>
          <w:tcPr>
            <w:tcW w:w="13695" w:type="dxa"/>
            <w:gridSpan w:val="9"/>
            <w:tcBorders>
              <w:top w:val="double" w:sz="4" w:space="0" w:color="auto"/>
              <w:bottom w:val="double" w:sz="4" w:space="0" w:color="auto"/>
              <w:right w:val="double" w:sz="4" w:space="0" w:color="auto"/>
            </w:tcBorders>
            <w:shd w:val="clear" w:color="auto" w:fill="auto"/>
            <w:tcMar>
              <w:top w:w="72" w:type="dxa"/>
              <w:left w:w="144" w:type="dxa"/>
              <w:bottom w:w="72" w:type="dxa"/>
              <w:right w:w="144" w:type="dxa"/>
            </w:tcMar>
            <w:vAlign w:val="center"/>
          </w:tcPr>
          <w:p w:rsidR="006D09C8" w:rsidRPr="00CC6DE2" w:rsidRDefault="006D09C8" w:rsidP="00B91512">
            <w:pPr>
              <w:ind w:left="180" w:hanging="180"/>
              <w:rPr>
                <w:sz w:val="12"/>
                <w:szCs w:val="12"/>
              </w:rPr>
            </w:pPr>
            <w:r w:rsidRPr="00CC6DE2">
              <w:rPr>
                <w:sz w:val="12"/>
                <w:szCs w:val="12"/>
                <w:vertAlign w:val="superscript"/>
              </w:rPr>
              <w:t>+</w:t>
            </w:r>
            <w:r w:rsidRPr="00CC6DE2">
              <w:rPr>
                <w:sz w:val="12"/>
                <w:szCs w:val="12"/>
                <w:vertAlign w:val="superscript"/>
              </w:rPr>
              <w:tab/>
            </w:r>
            <w:r w:rsidR="00860523" w:rsidRPr="00CC6DE2">
              <w:rPr>
                <w:sz w:val="12"/>
                <w:szCs w:val="12"/>
              </w:rPr>
              <w:t xml:space="preserve">Per </w:t>
            </w:r>
            <w:r w:rsidR="009A274E" w:rsidRPr="00CC6DE2">
              <w:rPr>
                <w:sz w:val="12"/>
                <w:szCs w:val="12"/>
              </w:rPr>
              <w:t xml:space="preserve">FDA regulation Title </w:t>
            </w:r>
            <w:hyperlink r:id="rId8" w:history="1">
              <w:r w:rsidR="009A274E" w:rsidRPr="00CC6DE2">
                <w:rPr>
                  <w:rStyle w:val="Hyperlink"/>
                  <w:sz w:val="12"/>
                  <w:szCs w:val="12"/>
                </w:rPr>
                <w:t>21 CFR 312.32</w:t>
              </w:r>
            </w:hyperlink>
            <w:r w:rsidR="009A274E" w:rsidRPr="00CC6DE2">
              <w:rPr>
                <w:sz w:val="12"/>
                <w:szCs w:val="12"/>
              </w:rPr>
              <w:t>, a</w:t>
            </w:r>
            <w:r w:rsidRPr="00CC6DE2">
              <w:rPr>
                <w:sz w:val="12"/>
                <w:szCs w:val="12"/>
              </w:rPr>
              <w:t xml:space="preserve">n SAE is defined as an event that results in any of the following outcomes: </w:t>
            </w:r>
            <w:r w:rsidR="00B91512">
              <w:rPr>
                <w:sz w:val="12"/>
                <w:szCs w:val="12"/>
              </w:rPr>
              <w:t>d</w:t>
            </w:r>
            <w:r w:rsidRPr="00CC6DE2">
              <w:rPr>
                <w:sz w:val="12"/>
                <w:szCs w:val="12"/>
              </w:rPr>
              <w:t>eath, a life-threatening adverse event, inpatient hospitalization or prolongation of existing hospitalization, a persistent or significant incapacity or substantial disruption of the ability to conduct normal life functions, or a congenital anomaly/birth defect. Important medical events that may not result in death, be life-threatening, or require hospitalization may be considered serious when, based upon appropriate medical judgment, they may jeopardize the patient or subject and may require medical or surgical intervention to prevent one of the outcomes listed in this definition.</w:t>
            </w:r>
          </w:p>
          <w:p w:rsidR="006D09C8" w:rsidRPr="00CC6DE2" w:rsidRDefault="006D09C8" w:rsidP="00B91512">
            <w:pPr>
              <w:ind w:left="180" w:hanging="180"/>
              <w:rPr>
                <w:sz w:val="12"/>
                <w:szCs w:val="12"/>
              </w:rPr>
            </w:pPr>
            <w:r w:rsidRPr="00CC6DE2">
              <w:rPr>
                <w:sz w:val="12"/>
                <w:szCs w:val="12"/>
                <w:vertAlign w:val="superscript"/>
              </w:rPr>
              <w:t>&amp;</w:t>
            </w:r>
            <w:r w:rsidRPr="00CC6DE2">
              <w:rPr>
                <w:sz w:val="12"/>
                <w:szCs w:val="12"/>
                <w:vertAlign w:val="superscript"/>
              </w:rPr>
              <w:tab/>
            </w:r>
            <w:r w:rsidR="00860523" w:rsidRPr="00CC6DE2">
              <w:rPr>
                <w:sz w:val="12"/>
                <w:szCs w:val="12"/>
              </w:rPr>
              <w:t xml:space="preserve">Unanticipated event is defined in </w:t>
            </w:r>
            <w:hyperlink r:id="rId9" w:history="1">
              <w:r w:rsidR="00860523" w:rsidRPr="00CC6DE2">
                <w:rPr>
                  <w:rStyle w:val="Hyperlink"/>
                  <w:sz w:val="12"/>
                  <w:szCs w:val="12"/>
                </w:rPr>
                <w:t>IRB Policy 103.6b</w:t>
              </w:r>
            </w:hyperlink>
            <w:r w:rsidR="00860523" w:rsidRPr="00CC6DE2">
              <w:rPr>
                <w:sz w:val="12"/>
                <w:szCs w:val="12"/>
              </w:rPr>
              <w:t>.</w:t>
            </w:r>
          </w:p>
          <w:p w:rsidR="008D2F2A" w:rsidRPr="00CC6DE2" w:rsidRDefault="008D2F2A" w:rsidP="00B91512">
            <w:pPr>
              <w:ind w:left="180" w:hanging="180"/>
              <w:rPr>
                <w:sz w:val="12"/>
                <w:szCs w:val="12"/>
              </w:rPr>
            </w:pPr>
            <w:r w:rsidRPr="00CC6DE2">
              <w:rPr>
                <w:sz w:val="12"/>
                <w:szCs w:val="12"/>
              </w:rPr>
              <w:t xml:space="preserve">* </w:t>
            </w:r>
            <w:r w:rsidRPr="00CC6DE2">
              <w:rPr>
                <w:sz w:val="12"/>
                <w:szCs w:val="12"/>
              </w:rPr>
              <w:tab/>
              <w:t>For events occurring on/after consent date until 30 days after last study intervention unless otherwise specified by the protocol. For events occurring outside of this window please refer to each entity’s respective policy</w:t>
            </w:r>
            <w:r w:rsidR="00EC1C7B" w:rsidRPr="00CC6DE2">
              <w:rPr>
                <w:sz w:val="12"/>
                <w:szCs w:val="12"/>
              </w:rPr>
              <w:t xml:space="preserve"> and study protocol</w:t>
            </w:r>
            <w:r w:rsidRPr="00CC6DE2">
              <w:rPr>
                <w:sz w:val="12"/>
                <w:szCs w:val="12"/>
              </w:rPr>
              <w:t>.</w:t>
            </w:r>
          </w:p>
          <w:p w:rsidR="00D733CB" w:rsidRPr="00CC6DE2" w:rsidRDefault="00D733CB" w:rsidP="00B91512">
            <w:pPr>
              <w:ind w:left="180" w:hanging="180"/>
              <w:rPr>
                <w:sz w:val="12"/>
                <w:szCs w:val="12"/>
              </w:rPr>
            </w:pPr>
            <w:r w:rsidRPr="00CC6DE2">
              <w:rPr>
                <w:sz w:val="12"/>
                <w:szCs w:val="12"/>
              </w:rPr>
              <w:t>^</w:t>
            </w:r>
            <w:r w:rsidRPr="00CC6DE2">
              <w:rPr>
                <w:sz w:val="12"/>
                <w:szCs w:val="12"/>
              </w:rPr>
              <w:tab/>
              <w:t>Relationship to study intervention</w:t>
            </w:r>
          </w:p>
          <w:p w:rsidR="008D2F2A" w:rsidRPr="00CC6DE2" w:rsidRDefault="008D2F2A" w:rsidP="00B91512">
            <w:pPr>
              <w:autoSpaceDE w:val="0"/>
              <w:autoSpaceDN w:val="0"/>
              <w:adjustRightInd w:val="0"/>
              <w:ind w:left="180" w:hanging="180"/>
              <w:rPr>
                <w:rFonts w:cs="Arial"/>
                <w:color w:val="000000"/>
                <w:kern w:val="24"/>
                <w:sz w:val="12"/>
                <w:szCs w:val="12"/>
              </w:rPr>
            </w:pPr>
            <w:r w:rsidRPr="00CC6DE2">
              <w:rPr>
                <w:rFonts w:cs="Arial"/>
                <w:b/>
                <w:bCs/>
                <w:color w:val="000000"/>
                <w:kern w:val="24"/>
                <w:sz w:val="12"/>
                <w:szCs w:val="12"/>
                <w:vertAlign w:val="superscript"/>
              </w:rPr>
              <w:t>1</w:t>
            </w:r>
            <w:r w:rsidRPr="00CC6DE2">
              <w:rPr>
                <w:rFonts w:cs="Arial"/>
                <w:b/>
                <w:bCs/>
                <w:color w:val="000000"/>
                <w:kern w:val="24"/>
                <w:sz w:val="12"/>
                <w:szCs w:val="12"/>
                <w:vertAlign w:val="superscript"/>
              </w:rPr>
              <w:tab/>
            </w:r>
            <w:r w:rsidRPr="00CC6DE2">
              <w:rPr>
                <w:rFonts w:cs="Arial"/>
                <w:color w:val="000000"/>
                <w:kern w:val="24"/>
                <w:sz w:val="12"/>
                <w:szCs w:val="12"/>
              </w:rPr>
              <w:t>An unexpected event is one that is either newly occurring or one that occurs at an increased frequency or severity relative to what is expected, as described in the Investigator’s Brochure or IND file or study consent document</w:t>
            </w:r>
            <w:r w:rsidR="00EC1C7B" w:rsidRPr="00CC6DE2">
              <w:rPr>
                <w:rFonts w:cs="Arial"/>
                <w:color w:val="000000"/>
                <w:kern w:val="24"/>
                <w:sz w:val="12"/>
                <w:szCs w:val="12"/>
              </w:rPr>
              <w:t xml:space="preserve"> or study protocol</w:t>
            </w:r>
            <w:r w:rsidRPr="00CC6DE2">
              <w:rPr>
                <w:rFonts w:cs="Arial"/>
                <w:color w:val="000000"/>
                <w:kern w:val="24"/>
                <w:sz w:val="12"/>
                <w:szCs w:val="12"/>
              </w:rPr>
              <w:t>.</w:t>
            </w:r>
          </w:p>
          <w:p w:rsidR="008D2F2A" w:rsidRPr="00CC6DE2" w:rsidRDefault="008D2F2A" w:rsidP="00B91512">
            <w:pPr>
              <w:autoSpaceDE w:val="0"/>
              <w:autoSpaceDN w:val="0"/>
              <w:adjustRightInd w:val="0"/>
              <w:ind w:left="180" w:hanging="180"/>
              <w:rPr>
                <w:rFonts w:cs="Arial"/>
                <w:color w:val="000000"/>
                <w:kern w:val="24"/>
                <w:sz w:val="12"/>
                <w:szCs w:val="12"/>
              </w:rPr>
            </w:pPr>
            <w:r w:rsidRPr="00CC6DE2">
              <w:rPr>
                <w:rFonts w:cs="Arial"/>
                <w:bCs/>
                <w:color w:val="000000"/>
                <w:kern w:val="24"/>
                <w:sz w:val="12"/>
                <w:szCs w:val="12"/>
                <w:vertAlign w:val="superscript"/>
              </w:rPr>
              <w:t>2</w:t>
            </w:r>
            <w:r w:rsidRPr="00CC6DE2">
              <w:rPr>
                <w:rFonts w:cs="Arial"/>
                <w:bCs/>
                <w:color w:val="000000"/>
                <w:kern w:val="24"/>
                <w:sz w:val="12"/>
                <w:szCs w:val="12"/>
                <w:vertAlign w:val="superscript"/>
              </w:rPr>
              <w:tab/>
            </w:r>
            <w:r w:rsidRPr="00CC6DE2">
              <w:rPr>
                <w:rFonts w:cs="Arial"/>
                <w:bCs/>
                <w:color w:val="000000"/>
                <w:kern w:val="24"/>
                <w:sz w:val="12"/>
                <w:szCs w:val="12"/>
              </w:rPr>
              <w:t xml:space="preserve">Please see the JHU IRB’s </w:t>
            </w:r>
            <w:hyperlink r:id="rId10" w:history="1">
              <w:r w:rsidRPr="00CC6DE2">
                <w:rPr>
                  <w:rStyle w:val="Hyperlink"/>
                  <w:rFonts w:cs="Arial"/>
                  <w:bCs/>
                  <w:kern w:val="24"/>
                  <w:sz w:val="12"/>
                  <w:szCs w:val="12"/>
                </w:rPr>
                <w:t>Unanticipated Events Flowchart</w:t>
              </w:r>
            </w:hyperlink>
            <w:r w:rsidRPr="00CC6DE2">
              <w:rPr>
                <w:rFonts w:cs="Arial"/>
                <w:bCs/>
                <w:color w:val="000000"/>
                <w:kern w:val="24"/>
                <w:sz w:val="12"/>
                <w:szCs w:val="12"/>
              </w:rPr>
              <w:t xml:space="preserve"> </w:t>
            </w:r>
            <w:r w:rsidR="00E25D2D" w:rsidRPr="00CC6DE2">
              <w:rPr>
                <w:rFonts w:cs="Arial"/>
                <w:bCs/>
                <w:color w:val="000000"/>
                <w:kern w:val="24"/>
                <w:sz w:val="12"/>
                <w:szCs w:val="12"/>
              </w:rPr>
              <w:t xml:space="preserve">and </w:t>
            </w:r>
            <w:hyperlink r:id="rId11" w:history="1">
              <w:r w:rsidRPr="00CC6DE2">
                <w:rPr>
                  <w:rStyle w:val="Hyperlink"/>
                  <w:rFonts w:cs="Arial"/>
                  <w:bCs/>
                  <w:kern w:val="24"/>
                  <w:sz w:val="12"/>
                  <w:szCs w:val="12"/>
                </w:rPr>
                <w:t>IRB Policy 103.6(b)</w:t>
              </w:r>
            </w:hyperlink>
            <w:r w:rsidRPr="00CC6DE2">
              <w:rPr>
                <w:rFonts w:cs="Arial"/>
                <w:bCs/>
                <w:color w:val="000000"/>
                <w:kern w:val="24"/>
                <w:sz w:val="12"/>
                <w:szCs w:val="12"/>
              </w:rPr>
              <w:t xml:space="preserve"> for more info on unanticipated event</w:t>
            </w:r>
            <w:r w:rsidR="00E25D2D" w:rsidRPr="00CC6DE2">
              <w:rPr>
                <w:rFonts w:cs="Arial"/>
                <w:bCs/>
                <w:color w:val="000000"/>
                <w:kern w:val="24"/>
                <w:sz w:val="12"/>
                <w:szCs w:val="12"/>
              </w:rPr>
              <w:t>s</w:t>
            </w:r>
            <w:r w:rsidRPr="00CC6DE2">
              <w:rPr>
                <w:rFonts w:cs="Arial"/>
                <w:bCs/>
                <w:color w:val="000000"/>
                <w:kern w:val="24"/>
                <w:sz w:val="12"/>
                <w:szCs w:val="12"/>
              </w:rPr>
              <w:t xml:space="preserve"> and </w:t>
            </w:r>
            <w:hyperlink r:id="rId12" w:history="1">
              <w:r w:rsidR="00E25D2D" w:rsidRPr="00CC6DE2">
                <w:rPr>
                  <w:rStyle w:val="Hyperlink"/>
                  <w:rFonts w:cs="Arial"/>
                  <w:bCs/>
                  <w:kern w:val="24"/>
                  <w:sz w:val="12"/>
                  <w:szCs w:val="12"/>
                </w:rPr>
                <w:t>IRB policy 103.6(bi)</w:t>
              </w:r>
            </w:hyperlink>
            <w:r w:rsidR="00E25D2D" w:rsidRPr="00CC6DE2">
              <w:rPr>
                <w:rFonts w:cs="Arial"/>
                <w:bCs/>
                <w:color w:val="000000"/>
                <w:kern w:val="24"/>
                <w:sz w:val="12"/>
                <w:szCs w:val="12"/>
              </w:rPr>
              <w:t xml:space="preserve"> for more info on </w:t>
            </w:r>
            <w:r w:rsidRPr="00CC6DE2">
              <w:rPr>
                <w:rFonts w:cs="Arial"/>
                <w:bCs/>
                <w:color w:val="000000"/>
                <w:kern w:val="24"/>
                <w:sz w:val="12"/>
                <w:szCs w:val="12"/>
              </w:rPr>
              <w:t>death reporting.</w:t>
            </w:r>
          </w:p>
          <w:p w:rsidR="008D2F2A" w:rsidRPr="00CC6DE2" w:rsidRDefault="0085045B" w:rsidP="0085045B">
            <w:pPr>
              <w:autoSpaceDE w:val="0"/>
              <w:autoSpaceDN w:val="0"/>
              <w:adjustRightInd w:val="0"/>
              <w:ind w:left="180" w:hanging="180"/>
              <w:rPr>
                <w:rFonts w:cs="Arial"/>
                <w:color w:val="000000"/>
                <w:kern w:val="24"/>
                <w:sz w:val="12"/>
                <w:szCs w:val="12"/>
              </w:rPr>
            </w:pPr>
            <w:r>
              <w:rPr>
                <w:rFonts w:cs="Arial"/>
                <w:b/>
                <w:bCs/>
                <w:color w:val="000000"/>
                <w:kern w:val="24"/>
                <w:sz w:val="12"/>
                <w:szCs w:val="12"/>
                <w:vertAlign w:val="superscript"/>
              </w:rPr>
              <w:t>3</w:t>
            </w:r>
            <w:r w:rsidR="008D2F2A" w:rsidRPr="00CC6DE2">
              <w:rPr>
                <w:rFonts w:cs="Arial"/>
                <w:b/>
                <w:bCs/>
                <w:color w:val="000000"/>
                <w:kern w:val="24"/>
                <w:sz w:val="12"/>
                <w:szCs w:val="12"/>
                <w:vertAlign w:val="superscript"/>
              </w:rPr>
              <w:tab/>
            </w:r>
            <w:r w:rsidR="008D2F2A" w:rsidRPr="00CC6DE2">
              <w:rPr>
                <w:rFonts w:cs="Arial"/>
                <w:color w:val="000000"/>
                <w:kern w:val="24"/>
                <w:sz w:val="12"/>
                <w:szCs w:val="12"/>
              </w:rPr>
              <w:t xml:space="preserve">Please see FDA reg </w:t>
            </w:r>
            <w:hyperlink r:id="rId13" w:history="1">
              <w:r w:rsidR="008D2F2A" w:rsidRPr="00CC6DE2">
                <w:rPr>
                  <w:rStyle w:val="Hyperlink"/>
                  <w:rFonts w:cs="Arial"/>
                  <w:kern w:val="24"/>
                  <w:sz w:val="12"/>
                  <w:szCs w:val="12"/>
                </w:rPr>
                <w:t>21 CFR 312.32</w:t>
              </w:r>
            </w:hyperlink>
            <w:r w:rsidR="008D2F2A" w:rsidRPr="00CC6DE2">
              <w:rPr>
                <w:rFonts w:cs="Arial"/>
                <w:color w:val="000000"/>
                <w:kern w:val="24"/>
                <w:sz w:val="12"/>
                <w:szCs w:val="12"/>
              </w:rPr>
              <w:t xml:space="preserve"> or the </w:t>
            </w:r>
            <w:hyperlink r:id="rId14" w:history="1">
              <w:r w:rsidR="008D2F2A" w:rsidRPr="00CC6DE2">
                <w:rPr>
                  <w:rStyle w:val="Hyperlink"/>
                  <w:rFonts w:cs="Arial"/>
                  <w:kern w:val="24"/>
                  <w:sz w:val="12"/>
                  <w:szCs w:val="12"/>
                </w:rPr>
                <w:t>FDA’s Draft Guidance on Safety Reporting</w:t>
              </w:r>
            </w:hyperlink>
            <w:r w:rsidR="008D2F2A" w:rsidRPr="00CC6DE2">
              <w:rPr>
                <w:rFonts w:cs="Arial"/>
                <w:color w:val="000000"/>
                <w:kern w:val="24"/>
                <w:sz w:val="12"/>
                <w:szCs w:val="12"/>
              </w:rPr>
              <w:t xml:space="preserve"> for more info. </w:t>
            </w:r>
          </w:p>
        </w:tc>
      </w:tr>
    </w:tbl>
    <w:p w:rsidR="00775BC2" w:rsidRDefault="00775BC2" w:rsidP="0076214F">
      <w:pPr>
        <w:rPr>
          <w:b/>
          <w:sz w:val="18"/>
          <w:szCs w:val="18"/>
        </w:rPr>
      </w:pPr>
    </w:p>
    <w:p w:rsidR="0076214F" w:rsidRDefault="0076214F" w:rsidP="0076214F">
      <w:pPr>
        <w:rPr>
          <w:sz w:val="18"/>
          <w:szCs w:val="18"/>
        </w:rPr>
      </w:pPr>
      <w:r>
        <w:rPr>
          <w:b/>
          <w:sz w:val="18"/>
          <w:szCs w:val="18"/>
        </w:rPr>
        <w:t>FDA:</w:t>
      </w:r>
      <w:r>
        <w:rPr>
          <w:sz w:val="18"/>
          <w:szCs w:val="18"/>
        </w:rPr>
        <w:t xml:space="preserve"> </w:t>
      </w:r>
      <w:r w:rsidR="00710143">
        <w:rPr>
          <w:sz w:val="18"/>
          <w:szCs w:val="18"/>
        </w:rPr>
        <w:t>I</w:t>
      </w:r>
      <w:r>
        <w:rPr>
          <w:sz w:val="18"/>
          <w:szCs w:val="18"/>
        </w:rPr>
        <w:t>s event</w:t>
      </w:r>
      <w:r w:rsidR="00775BC2">
        <w:rPr>
          <w:sz w:val="18"/>
          <w:szCs w:val="18"/>
        </w:rPr>
        <w:t>:</w:t>
      </w:r>
      <w:r>
        <w:rPr>
          <w:sz w:val="18"/>
          <w:szCs w:val="18"/>
        </w:rPr>
        <w:t xml:space="preserve"> serious, unexpected</w:t>
      </w:r>
      <w:r w:rsidR="00775BC2">
        <w:rPr>
          <w:sz w:val="18"/>
          <w:szCs w:val="18"/>
        </w:rPr>
        <w:t>,</w:t>
      </w:r>
      <w:r>
        <w:rPr>
          <w:sz w:val="18"/>
          <w:szCs w:val="18"/>
        </w:rPr>
        <w:t xml:space="preserve"> and possibly related? If yes then </w:t>
      </w:r>
      <w:r w:rsidR="0085045B">
        <w:rPr>
          <w:sz w:val="18"/>
          <w:szCs w:val="18"/>
        </w:rPr>
        <w:t xml:space="preserve">IND Sponsor must </w:t>
      </w:r>
      <w:r>
        <w:rPr>
          <w:sz w:val="18"/>
          <w:szCs w:val="18"/>
        </w:rPr>
        <w:t xml:space="preserve">report </w:t>
      </w:r>
      <w:r w:rsidR="00775BC2">
        <w:rPr>
          <w:sz w:val="18"/>
          <w:szCs w:val="18"/>
        </w:rPr>
        <w:t xml:space="preserve">it </w:t>
      </w:r>
      <w:r w:rsidR="0085045B">
        <w:rPr>
          <w:sz w:val="18"/>
          <w:szCs w:val="18"/>
        </w:rPr>
        <w:t xml:space="preserve">to FDA </w:t>
      </w:r>
      <w:r>
        <w:rPr>
          <w:sz w:val="18"/>
          <w:szCs w:val="18"/>
        </w:rPr>
        <w:t>under 21 CFR 312.32</w:t>
      </w:r>
      <w:r w:rsidR="00775BC2">
        <w:rPr>
          <w:sz w:val="18"/>
          <w:szCs w:val="18"/>
        </w:rPr>
        <w:t>.</w:t>
      </w:r>
    </w:p>
    <w:p w:rsidR="0076214F" w:rsidRDefault="0076214F" w:rsidP="0076214F">
      <w:pPr>
        <w:rPr>
          <w:sz w:val="18"/>
          <w:szCs w:val="18"/>
        </w:rPr>
      </w:pPr>
    </w:p>
    <w:p w:rsidR="0076214F" w:rsidRDefault="0076214F" w:rsidP="0076214F">
      <w:pPr>
        <w:rPr>
          <w:sz w:val="18"/>
          <w:szCs w:val="18"/>
        </w:rPr>
      </w:pPr>
      <w:r>
        <w:rPr>
          <w:b/>
          <w:sz w:val="18"/>
          <w:szCs w:val="18"/>
        </w:rPr>
        <w:t>IRB:</w:t>
      </w:r>
      <w:r>
        <w:rPr>
          <w:sz w:val="18"/>
          <w:szCs w:val="18"/>
        </w:rPr>
        <w:t xml:space="preserve"> Is the event</w:t>
      </w:r>
      <w:r w:rsidR="0085045B">
        <w:rPr>
          <w:sz w:val="18"/>
          <w:szCs w:val="18"/>
        </w:rPr>
        <w:t>:</w:t>
      </w:r>
      <w:r>
        <w:rPr>
          <w:sz w:val="18"/>
          <w:szCs w:val="18"/>
        </w:rPr>
        <w:t xml:space="preserve"> </w:t>
      </w:r>
    </w:p>
    <w:p w:rsidR="0076214F" w:rsidRDefault="0076214F" w:rsidP="0076214F">
      <w:pPr>
        <w:rPr>
          <w:sz w:val="18"/>
          <w:szCs w:val="18"/>
        </w:rPr>
      </w:pPr>
    </w:p>
    <w:p w:rsidR="0085045B" w:rsidRDefault="0085045B" w:rsidP="0076214F">
      <w:pPr>
        <w:pStyle w:val="ListParagraph"/>
        <w:numPr>
          <w:ilvl w:val="0"/>
          <w:numId w:val="12"/>
        </w:numPr>
        <w:snapToGrid w:val="0"/>
        <w:rPr>
          <w:sz w:val="18"/>
          <w:szCs w:val="18"/>
        </w:rPr>
      </w:pPr>
      <w:r>
        <w:rPr>
          <w:sz w:val="18"/>
          <w:szCs w:val="18"/>
        </w:rPr>
        <w:t>U</w:t>
      </w:r>
      <w:r w:rsidR="0076214F">
        <w:rPr>
          <w:sz w:val="18"/>
          <w:szCs w:val="18"/>
        </w:rPr>
        <w:t xml:space="preserve">nanticipated vis-à-vis the current consent/protocol? </w:t>
      </w:r>
    </w:p>
    <w:p w:rsidR="0076214F" w:rsidRDefault="0076214F" w:rsidP="0085045B">
      <w:pPr>
        <w:pStyle w:val="ListParagraph"/>
        <w:snapToGrid w:val="0"/>
        <w:rPr>
          <w:sz w:val="18"/>
          <w:szCs w:val="18"/>
        </w:rPr>
      </w:pPr>
      <w:r>
        <w:rPr>
          <w:sz w:val="18"/>
          <w:szCs w:val="18"/>
        </w:rPr>
        <w:t>AND</w:t>
      </w:r>
    </w:p>
    <w:p w:rsidR="0085045B" w:rsidRDefault="0085045B" w:rsidP="0076214F">
      <w:pPr>
        <w:pStyle w:val="ListParagraph"/>
        <w:numPr>
          <w:ilvl w:val="0"/>
          <w:numId w:val="12"/>
        </w:numPr>
        <w:snapToGrid w:val="0"/>
        <w:rPr>
          <w:sz w:val="18"/>
          <w:szCs w:val="18"/>
        </w:rPr>
      </w:pPr>
      <w:r>
        <w:rPr>
          <w:sz w:val="18"/>
          <w:szCs w:val="18"/>
        </w:rPr>
        <w:t>R</w:t>
      </w:r>
      <w:r w:rsidR="0076214F">
        <w:rPr>
          <w:sz w:val="18"/>
          <w:szCs w:val="18"/>
        </w:rPr>
        <w:t xml:space="preserve">easonable to believe that it could be possibility related to the study/study intervention? </w:t>
      </w:r>
    </w:p>
    <w:p w:rsidR="0076214F" w:rsidRDefault="0076214F" w:rsidP="0085045B">
      <w:pPr>
        <w:pStyle w:val="ListParagraph"/>
        <w:snapToGrid w:val="0"/>
        <w:rPr>
          <w:sz w:val="18"/>
          <w:szCs w:val="18"/>
        </w:rPr>
      </w:pPr>
      <w:r>
        <w:rPr>
          <w:sz w:val="18"/>
          <w:szCs w:val="18"/>
        </w:rPr>
        <w:t>AND</w:t>
      </w:r>
    </w:p>
    <w:p w:rsidR="0076214F" w:rsidRDefault="0085045B" w:rsidP="0076214F">
      <w:pPr>
        <w:pStyle w:val="ListParagraph"/>
        <w:numPr>
          <w:ilvl w:val="0"/>
          <w:numId w:val="12"/>
        </w:numPr>
        <w:snapToGrid w:val="0"/>
        <w:rPr>
          <w:sz w:val="18"/>
          <w:szCs w:val="18"/>
        </w:rPr>
      </w:pPr>
      <w:r>
        <w:rPr>
          <w:sz w:val="18"/>
          <w:szCs w:val="18"/>
        </w:rPr>
        <w:t>S</w:t>
      </w:r>
      <w:r w:rsidR="0076214F">
        <w:rPr>
          <w:sz w:val="18"/>
          <w:szCs w:val="18"/>
        </w:rPr>
        <w:t>uggests that the research poses greater risk of harm than was previously known OR significantly changes the conduct of the study (i.e. requiring a protocol or ICF update)</w:t>
      </w:r>
    </w:p>
    <w:p w:rsidR="0076214F" w:rsidRDefault="0076214F" w:rsidP="0076214F">
      <w:pPr>
        <w:rPr>
          <w:sz w:val="18"/>
          <w:szCs w:val="18"/>
        </w:rPr>
      </w:pPr>
    </w:p>
    <w:p w:rsidR="0076214F" w:rsidRDefault="0076214F" w:rsidP="00775BC2">
      <w:pPr>
        <w:rPr>
          <w:sz w:val="18"/>
          <w:szCs w:val="18"/>
        </w:rPr>
      </w:pPr>
      <w:r>
        <w:rPr>
          <w:sz w:val="18"/>
          <w:szCs w:val="18"/>
        </w:rPr>
        <w:t xml:space="preserve">If yes, to all 3 bullets then </w:t>
      </w:r>
      <w:r w:rsidR="0085045B">
        <w:rPr>
          <w:sz w:val="18"/>
          <w:szCs w:val="18"/>
        </w:rPr>
        <w:t>PI must report to the</w:t>
      </w:r>
      <w:r w:rsidR="00775BC2">
        <w:rPr>
          <w:sz w:val="18"/>
          <w:szCs w:val="18"/>
        </w:rPr>
        <w:t>ir</w:t>
      </w:r>
      <w:r>
        <w:rPr>
          <w:sz w:val="18"/>
          <w:szCs w:val="18"/>
        </w:rPr>
        <w:t xml:space="preserve"> IRB as an unanticipated problem/event.</w:t>
      </w:r>
    </w:p>
    <w:p w:rsidR="0085045B" w:rsidRPr="009D0FCA" w:rsidRDefault="0085045B" w:rsidP="0085045B">
      <w:pPr>
        <w:ind w:firstLine="360"/>
        <w:rPr>
          <w:sz w:val="18"/>
          <w:szCs w:val="18"/>
        </w:rPr>
      </w:pPr>
    </w:p>
    <w:sectPr w:rsidR="0085045B" w:rsidRPr="009D0FCA" w:rsidSect="004849C4">
      <w:headerReference w:type="default" r:id="rId15"/>
      <w:footerReference w:type="default" r:id="rId16"/>
      <w:pgSz w:w="15840" w:h="12240" w:orient="landscape" w:code="1"/>
      <w:pgMar w:top="1440"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C4F" w:rsidRDefault="007B2C4F" w:rsidP="00C704CA">
      <w:r>
        <w:separator/>
      </w:r>
    </w:p>
  </w:endnote>
  <w:endnote w:type="continuationSeparator" w:id="0">
    <w:p w:rsidR="007B2C4F" w:rsidRDefault="007B2C4F" w:rsidP="00C704C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512" w:rsidRPr="00F15A9D" w:rsidRDefault="00B91512" w:rsidP="0076214F">
    <w:pPr>
      <w:pBdr>
        <w:top w:val="thickThinSmallGap" w:sz="24" w:space="1" w:color="auto"/>
      </w:pBdr>
      <w:tabs>
        <w:tab w:val="right" w:pos="13500"/>
      </w:tabs>
      <w:rPr>
        <w:sz w:val="20"/>
      </w:rPr>
    </w:pPr>
    <w:r w:rsidRPr="00F15A9D">
      <w:rPr>
        <w:sz w:val="20"/>
      </w:rPr>
      <w:t xml:space="preserve">Page </w:t>
    </w:r>
    <w:r w:rsidR="004D26F1" w:rsidRPr="00F15A9D">
      <w:rPr>
        <w:sz w:val="20"/>
      </w:rPr>
      <w:fldChar w:fldCharType="begin"/>
    </w:r>
    <w:r w:rsidRPr="00F15A9D">
      <w:rPr>
        <w:sz w:val="20"/>
      </w:rPr>
      <w:instrText xml:space="preserve"> PAGE </w:instrText>
    </w:r>
    <w:r w:rsidR="004D26F1" w:rsidRPr="00F15A9D">
      <w:rPr>
        <w:sz w:val="20"/>
      </w:rPr>
      <w:fldChar w:fldCharType="separate"/>
    </w:r>
    <w:r w:rsidR="007B2C4F">
      <w:rPr>
        <w:noProof/>
        <w:sz w:val="20"/>
      </w:rPr>
      <w:t>1</w:t>
    </w:r>
    <w:r w:rsidR="004D26F1" w:rsidRPr="00F15A9D">
      <w:rPr>
        <w:sz w:val="20"/>
      </w:rPr>
      <w:fldChar w:fldCharType="end"/>
    </w:r>
    <w:r w:rsidRPr="00F15A9D">
      <w:rPr>
        <w:sz w:val="20"/>
      </w:rPr>
      <w:t xml:space="preserve"> of </w:t>
    </w:r>
    <w:r w:rsidR="004D26F1" w:rsidRPr="00F15A9D">
      <w:rPr>
        <w:sz w:val="20"/>
      </w:rPr>
      <w:fldChar w:fldCharType="begin"/>
    </w:r>
    <w:r w:rsidRPr="00F15A9D">
      <w:rPr>
        <w:sz w:val="20"/>
      </w:rPr>
      <w:instrText xml:space="preserve"> NUMPAGES  </w:instrText>
    </w:r>
    <w:r w:rsidR="004D26F1" w:rsidRPr="00F15A9D">
      <w:rPr>
        <w:sz w:val="20"/>
      </w:rPr>
      <w:fldChar w:fldCharType="separate"/>
    </w:r>
    <w:r w:rsidR="007B2C4F">
      <w:rPr>
        <w:noProof/>
        <w:sz w:val="20"/>
      </w:rPr>
      <w:t>1</w:t>
    </w:r>
    <w:r w:rsidR="004D26F1" w:rsidRPr="00F15A9D">
      <w:rPr>
        <w:sz w:val="20"/>
      </w:rPr>
      <w:fldChar w:fldCharType="end"/>
    </w:r>
    <w:r>
      <w:rPr>
        <w:sz w:val="20"/>
      </w:rPr>
      <w:tab/>
      <w:t>Final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C4F" w:rsidRDefault="007B2C4F" w:rsidP="00C704CA">
      <w:r>
        <w:separator/>
      </w:r>
    </w:p>
  </w:footnote>
  <w:footnote w:type="continuationSeparator" w:id="0">
    <w:p w:rsidR="007B2C4F" w:rsidRDefault="007B2C4F" w:rsidP="00C704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45B" w:rsidRPr="0085045B" w:rsidRDefault="0085045B" w:rsidP="0085045B">
    <w:pPr>
      <w:pStyle w:val="Header"/>
      <w:jc w:val="center"/>
      <w:rPr>
        <w:rFonts w:cs="Arial"/>
        <w:b/>
        <w:szCs w:val="24"/>
      </w:rPr>
    </w:pPr>
    <w:r w:rsidRPr="00CC6DE2">
      <w:rPr>
        <w:rFonts w:cs="Arial"/>
        <w:b/>
        <w:szCs w:val="24"/>
      </w:rPr>
      <w:t>SAE</w:t>
    </w:r>
    <w:r w:rsidRPr="00CC6DE2">
      <w:rPr>
        <w:rFonts w:cs="Arial"/>
        <w:b/>
        <w:szCs w:val="24"/>
        <w:vertAlign w:val="superscript"/>
      </w:rPr>
      <w:t>+</w:t>
    </w:r>
    <w:r w:rsidRPr="00CC6DE2">
      <w:rPr>
        <w:rFonts w:cs="Arial"/>
        <w:b/>
        <w:szCs w:val="24"/>
      </w:rPr>
      <w:t xml:space="preserve"> / Unanticipated Event</w:t>
    </w:r>
    <w:r w:rsidRPr="00CC6DE2">
      <w:rPr>
        <w:rFonts w:cs="Arial"/>
        <w:b/>
        <w:szCs w:val="24"/>
        <w:vertAlign w:val="superscript"/>
      </w:rPr>
      <w:t>&amp;</w:t>
    </w:r>
    <w:r w:rsidRPr="00CC6DE2">
      <w:rPr>
        <w:rFonts w:cs="Arial"/>
        <w:b/>
        <w:szCs w:val="24"/>
      </w:rPr>
      <w:t xml:space="preserve"> Reporting Timeline Summary*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1181"/>
    <w:multiLevelType w:val="hybridMultilevel"/>
    <w:tmpl w:val="6F34A1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80F7E"/>
    <w:multiLevelType w:val="hybridMultilevel"/>
    <w:tmpl w:val="1786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17F25"/>
    <w:multiLevelType w:val="hybridMultilevel"/>
    <w:tmpl w:val="744892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2F647B"/>
    <w:multiLevelType w:val="hybridMultilevel"/>
    <w:tmpl w:val="4D90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671A13"/>
    <w:multiLevelType w:val="hybridMultilevel"/>
    <w:tmpl w:val="FD0ED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B975F82"/>
    <w:multiLevelType w:val="hybridMultilevel"/>
    <w:tmpl w:val="90163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16C3A28"/>
    <w:multiLevelType w:val="hybridMultilevel"/>
    <w:tmpl w:val="067E6B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92F5E80"/>
    <w:multiLevelType w:val="hybridMultilevel"/>
    <w:tmpl w:val="4E2073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6"/>
  </w:num>
  <w:num w:numId="5">
    <w:abstractNumId w:val="2"/>
  </w:num>
  <w:num w:numId="6">
    <w:abstractNumId w:val="3"/>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721"/>
  <w:documentProtection w:edit="trackedChanges" w:enforcement="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2E03A6"/>
    <w:rsid w:val="00003E87"/>
    <w:rsid w:val="00022F32"/>
    <w:rsid w:val="00033C8A"/>
    <w:rsid w:val="00033FFD"/>
    <w:rsid w:val="00042634"/>
    <w:rsid w:val="0004364F"/>
    <w:rsid w:val="00044F52"/>
    <w:rsid w:val="00047E1E"/>
    <w:rsid w:val="00063395"/>
    <w:rsid w:val="0006561D"/>
    <w:rsid w:val="000902DB"/>
    <w:rsid w:val="00093318"/>
    <w:rsid w:val="000C0866"/>
    <w:rsid w:val="000E77F3"/>
    <w:rsid w:val="000F4A3D"/>
    <w:rsid w:val="00100EF5"/>
    <w:rsid w:val="001261EA"/>
    <w:rsid w:val="00133201"/>
    <w:rsid w:val="0014025E"/>
    <w:rsid w:val="00150615"/>
    <w:rsid w:val="00153B31"/>
    <w:rsid w:val="00155E27"/>
    <w:rsid w:val="001566F7"/>
    <w:rsid w:val="00161834"/>
    <w:rsid w:val="00161D8C"/>
    <w:rsid w:val="00166A8A"/>
    <w:rsid w:val="00185CEC"/>
    <w:rsid w:val="0019436B"/>
    <w:rsid w:val="001949F3"/>
    <w:rsid w:val="001A53C5"/>
    <w:rsid w:val="001B1938"/>
    <w:rsid w:val="001E5DDF"/>
    <w:rsid w:val="00207171"/>
    <w:rsid w:val="00211510"/>
    <w:rsid w:val="00211B10"/>
    <w:rsid w:val="00231FD3"/>
    <w:rsid w:val="002326ED"/>
    <w:rsid w:val="002416AD"/>
    <w:rsid w:val="00241B1A"/>
    <w:rsid w:val="00246D98"/>
    <w:rsid w:val="00250865"/>
    <w:rsid w:val="002514BB"/>
    <w:rsid w:val="00255F47"/>
    <w:rsid w:val="00262F76"/>
    <w:rsid w:val="00265FD3"/>
    <w:rsid w:val="00267310"/>
    <w:rsid w:val="00277098"/>
    <w:rsid w:val="00282E2C"/>
    <w:rsid w:val="002C155F"/>
    <w:rsid w:val="002E03A6"/>
    <w:rsid w:val="002E605F"/>
    <w:rsid w:val="003044BA"/>
    <w:rsid w:val="00304A59"/>
    <w:rsid w:val="00305DA9"/>
    <w:rsid w:val="00306B3C"/>
    <w:rsid w:val="003359D2"/>
    <w:rsid w:val="0033608C"/>
    <w:rsid w:val="003527EB"/>
    <w:rsid w:val="00354D03"/>
    <w:rsid w:val="00356FDB"/>
    <w:rsid w:val="00357549"/>
    <w:rsid w:val="003711D8"/>
    <w:rsid w:val="00374971"/>
    <w:rsid w:val="003815DE"/>
    <w:rsid w:val="003A5CDF"/>
    <w:rsid w:val="003B6A2A"/>
    <w:rsid w:val="003C0600"/>
    <w:rsid w:val="003D3B0E"/>
    <w:rsid w:val="003D5D2C"/>
    <w:rsid w:val="003F1BD8"/>
    <w:rsid w:val="003F6C50"/>
    <w:rsid w:val="00402996"/>
    <w:rsid w:val="004121D7"/>
    <w:rsid w:val="00412E83"/>
    <w:rsid w:val="004164A7"/>
    <w:rsid w:val="0042095F"/>
    <w:rsid w:val="00434217"/>
    <w:rsid w:val="00443B5B"/>
    <w:rsid w:val="00462F1B"/>
    <w:rsid w:val="004830AB"/>
    <w:rsid w:val="004849C4"/>
    <w:rsid w:val="004A3F9B"/>
    <w:rsid w:val="004A6AF1"/>
    <w:rsid w:val="004A7F64"/>
    <w:rsid w:val="004B5F2E"/>
    <w:rsid w:val="004B7770"/>
    <w:rsid w:val="004D26F1"/>
    <w:rsid w:val="004E3F59"/>
    <w:rsid w:val="0052158F"/>
    <w:rsid w:val="00535F97"/>
    <w:rsid w:val="00540254"/>
    <w:rsid w:val="005460CF"/>
    <w:rsid w:val="00564A27"/>
    <w:rsid w:val="00570FCA"/>
    <w:rsid w:val="00585332"/>
    <w:rsid w:val="00590E2E"/>
    <w:rsid w:val="00596976"/>
    <w:rsid w:val="005A4F9F"/>
    <w:rsid w:val="005B5EA0"/>
    <w:rsid w:val="005B6751"/>
    <w:rsid w:val="005B79B0"/>
    <w:rsid w:val="005C24A6"/>
    <w:rsid w:val="005D53FC"/>
    <w:rsid w:val="005D7DC5"/>
    <w:rsid w:val="005E46A5"/>
    <w:rsid w:val="005F0A84"/>
    <w:rsid w:val="00632464"/>
    <w:rsid w:val="006371B8"/>
    <w:rsid w:val="0064129B"/>
    <w:rsid w:val="0065343D"/>
    <w:rsid w:val="00655402"/>
    <w:rsid w:val="006647CA"/>
    <w:rsid w:val="00683581"/>
    <w:rsid w:val="00690B26"/>
    <w:rsid w:val="006A6D1B"/>
    <w:rsid w:val="006B2C87"/>
    <w:rsid w:val="006B2D5F"/>
    <w:rsid w:val="006D09C8"/>
    <w:rsid w:val="006D0D81"/>
    <w:rsid w:val="006E10E0"/>
    <w:rsid w:val="006E34B9"/>
    <w:rsid w:val="006E64AE"/>
    <w:rsid w:val="006F1509"/>
    <w:rsid w:val="006F5EF4"/>
    <w:rsid w:val="007048F1"/>
    <w:rsid w:val="00710143"/>
    <w:rsid w:val="00713E75"/>
    <w:rsid w:val="007253CE"/>
    <w:rsid w:val="00731C6E"/>
    <w:rsid w:val="00735611"/>
    <w:rsid w:val="0076214F"/>
    <w:rsid w:val="00775BC2"/>
    <w:rsid w:val="007836EE"/>
    <w:rsid w:val="007A4F48"/>
    <w:rsid w:val="007B2C4F"/>
    <w:rsid w:val="007E6135"/>
    <w:rsid w:val="007F264C"/>
    <w:rsid w:val="007F4363"/>
    <w:rsid w:val="007F59A7"/>
    <w:rsid w:val="008020C7"/>
    <w:rsid w:val="00805316"/>
    <w:rsid w:val="00806A3B"/>
    <w:rsid w:val="00815C76"/>
    <w:rsid w:val="00830A52"/>
    <w:rsid w:val="00830A80"/>
    <w:rsid w:val="00833AD1"/>
    <w:rsid w:val="0085045B"/>
    <w:rsid w:val="00860523"/>
    <w:rsid w:val="00866803"/>
    <w:rsid w:val="00871A02"/>
    <w:rsid w:val="00875596"/>
    <w:rsid w:val="00884DED"/>
    <w:rsid w:val="00886D02"/>
    <w:rsid w:val="00886EDA"/>
    <w:rsid w:val="008A19FF"/>
    <w:rsid w:val="008A366E"/>
    <w:rsid w:val="008A61CF"/>
    <w:rsid w:val="008B44A1"/>
    <w:rsid w:val="008B67A7"/>
    <w:rsid w:val="008C58D6"/>
    <w:rsid w:val="008D23EF"/>
    <w:rsid w:val="008D2F2A"/>
    <w:rsid w:val="008D78B9"/>
    <w:rsid w:val="008E7498"/>
    <w:rsid w:val="009008C3"/>
    <w:rsid w:val="009112BD"/>
    <w:rsid w:val="00923CE5"/>
    <w:rsid w:val="00925156"/>
    <w:rsid w:val="009550EB"/>
    <w:rsid w:val="009614B4"/>
    <w:rsid w:val="00967BEE"/>
    <w:rsid w:val="00972343"/>
    <w:rsid w:val="0098432F"/>
    <w:rsid w:val="00987C09"/>
    <w:rsid w:val="00991BA1"/>
    <w:rsid w:val="00993332"/>
    <w:rsid w:val="009A274E"/>
    <w:rsid w:val="009D0FCA"/>
    <w:rsid w:val="009D19D6"/>
    <w:rsid w:val="009E3CA4"/>
    <w:rsid w:val="00A0514E"/>
    <w:rsid w:val="00A1132F"/>
    <w:rsid w:val="00A308B6"/>
    <w:rsid w:val="00A36248"/>
    <w:rsid w:val="00A7045F"/>
    <w:rsid w:val="00A8613F"/>
    <w:rsid w:val="00AA6019"/>
    <w:rsid w:val="00AA730F"/>
    <w:rsid w:val="00AC0904"/>
    <w:rsid w:val="00AC231F"/>
    <w:rsid w:val="00AD549F"/>
    <w:rsid w:val="00AF02F6"/>
    <w:rsid w:val="00AF179B"/>
    <w:rsid w:val="00B135FE"/>
    <w:rsid w:val="00B175BB"/>
    <w:rsid w:val="00B6709D"/>
    <w:rsid w:val="00B7036C"/>
    <w:rsid w:val="00B76523"/>
    <w:rsid w:val="00B87236"/>
    <w:rsid w:val="00B91512"/>
    <w:rsid w:val="00BB69B4"/>
    <w:rsid w:val="00BC5649"/>
    <w:rsid w:val="00BC767D"/>
    <w:rsid w:val="00BC7D45"/>
    <w:rsid w:val="00BD320D"/>
    <w:rsid w:val="00BE55D2"/>
    <w:rsid w:val="00C119D7"/>
    <w:rsid w:val="00C11F38"/>
    <w:rsid w:val="00C14390"/>
    <w:rsid w:val="00C16E8C"/>
    <w:rsid w:val="00C27E86"/>
    <w:rsid w:val="00C311DC"/>
    <w:rsid w:val="00C704CA"/>
    <w:rsid w:val="00C704FF"/>
    <w:rsid w:val="00C7413B"/>
    <w:rsid w:val="00C954A7"/>
    <w:rsid w:val="00C96FC8"/>
    <w:rsid w:val="00CB38F4"/>
    <w:rsid w:val="00CC332F"/>
    <w:rsid w:val="00CC4C62"/>
    <w:rsid w:val="00CC6DE2"/>
    <w:rsid w:val="00CD2D88"/>
    <w:rsid w:val="00CD46DD"/>
    <w:rsid w:val="00CE220F"/>
    <w:rsid w:val="00CE53BC"/>
    <w:rsid w:val="00D109CE"/>
    <w:rsid w:val="00D26C02"/>
    <w:rsid w:val="00D37FB5"/>
    <w:rsid w:val="00D443E6"/>
    <w:rsid w:val="00D44C1F"/>
    <w:rsid w:val="00D4646E"/>
    <w:rsid w:val="00D62900"/>
    <w:rsid w:val="00D64833"/>
    <w:rsid w:val="00D733CB"/>
    <w:rsid w:val="00D73582"/>
    <w:rsid w:val="00D80D22"/>
    <w:rsid w:val="00D84BAB"/>
    <w:rsid w:val="00DA7B77"/>
    <w:rsid w:val="00DB31C9"/>
    <w:rsid w:val="00DC2ADF"/>
    <w:rsid w:val="00DC52DA"/>
    <w:rsid w:val="00DE3622"/>
    <w:rsid w:val="00E022CC"/>
    <w:rsid w:val="00E25D2D"/>
    <w:rsid w:val="00E33684"/>
    <w:rsid w:val="00E337A6"/>
    <w:rsid w:val="00E377C0"/>
    <w:rsid w:val="00E505DE"/>
    <w:rsid w:val="00E6223C"/>
    <w:rsid w:val="00E72CC6"/>
    <w:rsid w:val="00E7363A"/>
    <w:rsid w:val="00E74126"/>
    <w:rsid w:val="00E752B9"/>
    <w:rsid w:val="00E8099F"/>
    <w:rsid w:val="00E8222E"/>
    <w:rsid w:val="00E82C35"/>
    <w:rsid w:val="00EA0C5C"/>
    <w:rsid w:val="00EA3E66"/>
    <w:rsid w:val="00EA43A9"/>
    <w:rsid w:val="00EA5B3D"/>
    <w:rsid w:val="00EA70D0"/>
    <w:rsid w:val="00EB0937"/>
    <w:rsid w:val="00EB760A"/>
    <w:rsid w:val="00EC1C7B"/>
    <w:rsid w:val="00EE302A"/>
    <w:rsid w:val="00EE64B7"/>
    <w:rsid w:val="00EF2D17"/>
    <w:rsid w:val="00EF405C"/>
    <w:rsid w:val="00EF533F"/>
    <w:rsid w:val="00F00393"/>
    <w:rsid w:val="00F00DDD"/>
    <w:rsid w:val="00F15A9D"/>
    <w:rsid w:val="00F168F6"/>
    <w:rsid w:val="00F1723F"/>
    <w:rsid w:val="00F30CA0"/>
    <w:rsid w:val="00F44D4E"/>
    <w:rsid w:val="00F57EAA"/>
    <w:rsid w:val="00F71599"/>
    <w:rsid w:val="00F8662E"/>
    <w:rsid w:val="00F921F0"/>
    <w:rsid w:val="00F96053"/>
    <w:rsid w:val="00FA4D63"/>
    <w:rsid w:val="00FB2F20"/>
    <w:rsid w:val="00FB4B35"/>
    <w:rsid w:val="00FC1BAF"/>
    <w:rsid w:val="00FD07D8"/>
    <w:rsid w:val="00FD2BAF"/>
    <w:rsid w:val="00FE2CCA"/>
    <w:rsid w:val="00FF0B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4CA"/>
    <w:pPr>
      <w:widowControl w:val="0"/>
    </w:pPr>
    <w:rPr>
      <w:rFonts w:ascii="Arial" w:eastAsia="Times New Roman" w:hAnsi="Arial"/>
      <w:snapToGrid w:val="0"/>
      <w:sz w:val="24"/>
    </w:rPr>
  </w:style>
  <w:style w:type="paragraph" w:styleId="Heading5">
    <w:name w:val="heading 5"/>
    <w:basedOn w:val="Normal"/>
    <w:next w:val="Normal"/>
    <w:link w:val="Heading5Char"/>
    <w:qFormat/>
    <w:rsid w:val="00F168F6"/>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4CA"/>
    <w:pPr>
      <w:tabs>
        <w:tab w:val="center" w:pos="4680"/>
        <w:tab w:val="right" w:pos="9360"/>
      </w:tabs>
    </w:pPr>
  </w:style>
  <w:style w:type="character" w:customStyle="1" w:styleId="HeaderChar">
    <w:name w:val="Header Char"/>
    <w:basedOn w:val="DefaultParagraphFont"/>
    <w:link w:val="Header"/>
    <w:uiPriority w:val="99"/>
    <w:semiHidden/>
    <w:rsid w:val="00C704CA"/>
  </w:style>
  <w:style w:type="paragraph" w:styleId="Footer">
    <w:name w:val="footer"/>
    <w:basedOn w:val="Normal"/>
    <w:link w:val="FooterChar"/>
    <w:uiPriority w:val="99"/>
    <w:unhideWhenUsed/>
    <w:rsid w:val="00C704CA"/>
    <w:pPr>
      <w:tabs>
        <w:tab w:val="center" w:pos="4680"/>
        <w:tab w:val="right" w:pos="9360"/>
      </w:tabs>
    </w:pPr>
  </w:style>
  <w:style w:type="character" w:customStyle="1" w:styleId="FooterChar">
    <w:name w:val="Footer Char"/>
    <w:basedOn w:val="DefaultParagraphFont"/>
    <w:link w:val="Footer"/>
    <w:uiPriority w:val="99"/>
    <w:rsid w:val="00C704CA"/>
  </w:style>
  <w:style w:type="table" w:styleId="TableGrid">
    <w:name w:val="Table Grid"/>
    <w:basedOn w:val="TableNormal"/>
    <w:uiPriority w:val="59"/>
    <w:rsid w:val="00C704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704CA"/>
    <w:pPr>
      <w:ind w:left="720"/>
    </w:pPr>
  </w:style>
  <w:style w:type="character" w:customStyle="1" w:styleId="Heading5Char">
    <w:name w:val="Heading 5 Char"/>
    <w:basedOn w:val="DefaultParagraphFont"/>
    <w:link w:val="Heading5"/>
    <w:rsid w:val="00F168F6"/>
    <w:rPr>
      <w:rFonts w:ascii="Arial" w:eastAsia="Times New Roman" w:hAnsi="Arial"/>
      <w:b/>
      <w:bCs/>
      <w:snapToGrid w:val="0"/>
      <w:sz w:val="24"/>
    </w:rPr>
  </w:style>
  <w:style w:type="character" w:styleId="Hyperlink">
    <w:name w:val="Hyperlink"/>
    <w:basedOn w:val="DefaultParagraphFont"/>
    <w:uiPriority w:val="99"/>
    <w:unhideWhenUsed/>
    <w:rsid w:val="00D37FB5"/>
    <w:rPr>
      <w:color w:val="0000FF"/>
      <w:u w:val="single"/>
    </w:rPr>
  </w:style>
  <w:style w:type="paragraph" w:styleId="BalloonText">
    <w:name w:val="Balloon Text"/>
    <w:basedOn w:val="Normal"/>
    <w:link w:val="BalloonTextChar"/>
    <w:uiPriority w:val="99"/>
    <w:semiHidden/>
    <w:unhideWhenUsed/>
    <w:rsid w:val="00E82C35"/>
    <w:rPr>
      <w:rFonts w:ascii="Tahoma" w:hAnsi="Tahoma" w:cs="Tahoma"/>
      <w:sz w:val="16"/>
      <w:szCs w:val="16"/>
    </w:rPr>
  </w:style>
  <w:style w:type="character" w:customStyle="1" w:styleId="BalloonTextChar">
    <w:name w:val="Balloon Text Char"/>
    <w:basedOn w:val="DefaultParagraphFont"/>
    <w:link w:val="BalloonText"/>
    <w:uiPriority w:val="99"/>
    <w:semiHidden/>
    <w:rsid w:val="00E82C35"/>
    <w:rPr>
      <w:rFonts w:ascii="Tahoma" w:eastAsia="Times New Roman" w:hAnsi="Tahoma" w:cs="Tahoma"/>
      <w:snapToGrid w:val="0"/>
      <w:sz w:val="16"/>
      <w:szCs w:val="16"/>
    </w:rPr>
  </w:style>
  <w:style w:type="character" w:styleId="FollowedHyperlink">
    <w:name w:val="FollowedHyperlink"/>
    <w:basedOn w:val="DefaultParagraphFont"/>
    <w:uiPriority w:val="99"/>
    <w:semiHidden/>
    <w:unhideWhenUsed/>
    <w:rsid w:val="00FD07D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4CA"/>
    <w:pPr>
      <w:widowControl w:val="0"/>
    </w:pPr>
    <w:rPr>
      <w:rFonts w:ascii="Arial" w:eastAsia="Times New Roman" w:hAnsi="Arial"/>
      <w:snapToGrid w:val="0"/>
      <w:sz w:val="24"/>
    </w:rPr>
  </w:style>
  <w:style w:type="paragraph" w:styleId="Heading5">
    <w:name w:val="heading 5"/>
    <w:basedOn w:val="Normal"/>
    <w:next w:val="Normal"/>
    <w:link w:val="Heading5Char"/>
    <w:qFormat/>
    <w:rsid w:val="00F168F6"/>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4CA"/>
    <w:pPr>
      <w:tabs>
        <w:tab w:val="center" w:pos="4680"/>
        <w:tab w:val="right" w:pos="9360"/>
      </w:tabs>
    </w:pPr>
  </w:style>
  <w:style w:type="character" w:customStyle="1" w:styleId="HeaderChar">
    <w:name w:val="Header Char"/>
    <w:basedOn w:val="DefaultParagraphFont"/>
    <w:link w:val="Header"/>
    <w:uiPriority w:val="99"/>
    <w:semiHidden/>
    <w:rsid w:val="00C704CA"/>
  </w:style>
  <w:style w:type="paragraph" w:styleId="Footer">
    <w:name w:val="footer"/>
    <w:basedOn w:val="Normal"/>
    <w:link w:val="FooterChar"/>
    <w:uiPriority w:val="99"/>
    <w:unhideWhenUsed/>
    <w:rsid w:val="00C704CA"/>
    <w:pPr>
      <w:tabs>
        <w:tab w:val="center" w:pos="4680"/>
        <w:tab w:val="right" w:pos="9360"/>
      </w:tabs>
    </w:pPr>
  </w:style>
  <w:style w:type="character" w:customStyle="1" w:styleId="FooterChar">
    <w:name w:val="Footer Char"/>
    <w:basedOn w:val="DefaultParagraphFont"/>
    <w:link w:val="Footer"/>
    <w:uiPriority w:val="99"/>
    <w:rsid w:val="00C704CA"/>
  </w:style>
  <w:style w:type="table" w:styleId="TableGrid">
    <w:name w:val="Table Grid"/>
    <w:basedOn w:val="TableNormal"/>
    <w:uiPriority w:val="59"/>
    <w:rsid w:val="00C704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704CA"/>
    <w:pPr>
      <w:ind w:left="720"/>
    </w:pPr>
  </w:style>
  <w:style w:type="character" w:customStyle="1" w:styleId="Heading5Char">
    <w:name w:val="Heading 5 Char"/>
    <w:basedOn w:val="DefaultParagraphFont"/>
    <w:link w:val="Heading5"/>
    <w:rsid w:val="00F168F6"/>
    <w:rPr>
      <w:rFonts w:ascii="Arial" w:eastAsia="Times New Roman" w:hAnsi="Arial"/>
      <w:b/>
      <w:bCs/>
      <w:snapToGrid w:val="0"/>
      <w:sz w:val="24"/>
    </w:rPr>
  </w:style>
  <w:style w:type="character" w:styleId="Hyperlink">
    <w:name w:val="Hyperlink"/>
    <w:basedOn w:val="DefaultParagraphFont"/>
    <w:uiPriority w:val="99"/>
    <w:unhideWhenUsed/>
    <w:rsid w:val="00D37FB5"/>
    <w:rPr>
      <w:color w:val="0000FF"/>
      <w:u w:val="single"/>
    </w:rPr>
  </w:style>
  <w:style w:type="paragraph" w:styleId="BalloonText">
    <w:name w:val="Balloon Text"/>
    <w:basedOn w:val="Normal"/>
    <w:link w:val="BalloonTextChar"/>
    <w:uiPriority w:val="99"/>
    <w:semiHidden/>
    <w:unhideWhenUsed/>
    <w:rsid w:val="00E82C35"/>
    <w:rPr>
      <w:rFonts w:ascii="Tahoma" w:hAnsi="Tahoma" w:cs="Tahoma"/>
      <w:sz w:val="16"/>
      <w:szCs w:val="16"/>
    </w:rPr>
  </w:style>
  <w:style w:type="character" w:customStyle="1" w:styleId="BalloonTextChar">
    <w:name w:val="Balloon Text Char"/>
    <w:basedOn w:val="DefaultParagraphFont"/>
    <w:link w:val="BalloonText"/>
    <w:uiPriority w:val="99"/>
    <w:semiHidden/>
    <w:rsid w:val="00E82C35"/>
    <w:rPr>
      <w:rFonts w:ascii="Tahoma" w:eastAsia="Times New Roman" w:hAnsi="Tahoma" w:cs="Tahoma"/>
      <w:snapToGrid w:val="0"/>
      <w:sz w:val="16"/>
      <w:szCs w:val="16"/>
    </w:rPr>
  </w:style>
  <w:style w:type="character" w:styleId="FollowedHyperlink">
    <w:name w:val="FollowedHyperlink"/>
    <w:basedOn w:val="DefaultParagraphFont"/>
    <w:uiPriority w:val="99"/>
    <w:semiHidden/>
    <w:unhideWhenUsed/>
    <w:rsid w:val="00FD07D8"/>
    <w:rPr>
      <w:color w:val="800080"/>
      <w:u w:val="single"/>
    </w:rPr>
  </w:style>
</w:styles>
</file>

<file path=word/webSettings.xml><?xml version="1.0" encoding="utf-8"?>
<w:webSettings xmlns:r="http://schemas.openxmlformats.org/officeDocument/2006/relationships" xmlns:w="http://schemas.openxmlformats.org/wordprocessingml/2006/main">
  <w:divs>
    <w:div w:id="64379013">
      <w:bodyDiv w:val="1"/>
      <w:marLeft w:val="0"/>
      <w:marRight w:val="0"/>
      <w:marTop w:val="0"/>
      <w:marBottom w:val="0"/>
      <w:divBdr>
        <w:top w:val="none" w:sz="0" w:space="0" w:color="auto"/>
        <w:left w:val="none" w:sz="0" w:space="0" w:color="auto"/>
        <w:bottom w:val="none" w:sz="0" w:space="0" w:color="auto"/>
        <w:right w:val="none" w:sz="0" w:space="0" w:color="auto"/>
      </w:divBdr>
    </w:div>
    <w:div w:id="183708418">
      <w:bodyDiv w:val="1"/>
      <w:marLeft w:val="0"/>
      <w:marRight w:val="0"/>
      <w:marTop w:val="0"/>
      <w:marBottom w:val="0"/>
      <w:divBdr>
        <w:top w:val="none" w:sz="0" w:space="0" w:color="auto"/>
        <w:left w:val="none" w:sz="0" w:space="0" w:color="auto"/>
        <w:bottom w:val="none" w:sz="0" w:space="0" w:color="auto"/>
        <w:right w:val="none" w:sz="0" w:space="0" w:color="auto"/>
      </w:divBdr>
    </w:div>
    <w:div w:id="291326072">
      <w:bodyDiv w:val="1"/>
      <w:marLeft w:val="0"/>
      <w:marRight w:val="0"/>
      <w:marTop w:val="0"/>
      <w:marBottom w:val="0"/>
      <w:divBdr>
        <w:top w:val="none" w:sz="0" w:space="0" w:color="auto"/>
        <w:left w:val="none" w:sz="0" w:space="0" w:color="auto"/>
        <w:bottom w:val="none" w:sz="0" w:space="0" w:color="auto"/>
        <w:right w:val="none" w:sz="0" w:space="0" w:color="auto"/>
      </w:divBdr>
    </w:div>
    <w:div w:id="345595654">
      <w:bodyDiv w:val="1"/>
      <w:marLeft w:val="0"/>
      <w:marRight w:val="0"/>
      <w:marTop w:val="0"/>
      <w:marBottom w:val="0"/>
      <w:divBdr>
        <w:top w:val="none" w:sz="0" w:space="0" w:color="auto"/>
        <w:left w:val="none" w:sz="0" w:space="0" w:color="auto"/>
        <w:bottom w:val="none" w:sz="0" w:space="0" w:color="auto"/>
        <w:right w:val="none" w:sz="0" w:space="0" w:color="auto"/>
      </w:divBdr>
    </w:div>
    <w:div w:id="430125373">
      <w:bodyDiv w:val="1"/>
      <w:marLeft w:val="0"/>
      <w:marRight w:val="0"/>
      <w:marTop w:val="0"/>
      <w:marBottom w:val="0"/>
      <w:divBdr>
        <w:top w:val="none" w:sz="0" w:space="0" w:color="auto"/>
        <w:left w:val="none" w:sz="0" w:space="0" w:color="auto"/>
        <w:bottom w:val="none" w:sz="0" w:space="0" w:color="auto"/>
        <w:right w:val="none" w:sz="0" w:space="0" w:color="auto"/>
      </w:divBdr>
    </w:div>
    <w:div w:id="612830013">
      <w:bodyDiv w:val="1"/>
      <w:marLeft w:val="67"/>
      <w:marRight w:val="67"/>
      <w:marTop w:val="67"/>
      <w:marBottom w:val="17"/>
      <w:divBdr>
        <w:top w:val="none" w:sz="0" w:space="0" w:color="auto"/>
        <w:left w:val="none" w:sz="0" w:space="0" w:color="auto"/>
        <w:bottom w:val="none" w:sz="0" w:space="0" w:color="auto"/>
        <w:right w:val="none" w:sz="0" w:space="0" w:color="auto"/>
      </w:divBdr>
      <w:divsChild>
        <w:div w:id="104886335">
          <w:marLeft w:val="0"/>
          <w:marRight w:val="0"/>
          <w:marTop w:val="0"/>
          <w:marBottom w:val="0"/>
          <w:divBdr>
            <w:top w:val="none" w:sz="0" w:space="0" w:color="auto"/>
            <w:left w:val="none" w:sz="0" w:space="0" w:color="auto"/>
            <w:bottom w:val="none" w:sz="0" w:space="0" w:color="auto"/>
            <w:right w:val="none" w:sz="0" w:space="0" w:color="auto"/>
          </w:divBdr>
        </w:div>
        <w:div w:id="124004863">
          <w:marLeft w:val="0"/>
          <w:marRight w:val="0"/>
          <w:marTop w:val="0"/>
          <w:marBottom w:val="0"/>
          <w:divBdr>
            <w:top w:val="none" w:sz="0" w:space="0" w:color="auto"/>
            <w:left w:val="none" w:sz="0" w:space="0" w:color="auto"/>
            <w:bottom w:val="none" w:sz="0" w:space="0" w:color="auto"/>
            <w:right w:val="none" w:sz="0" w:space="0" w:color="auto"/>
          </w:divBdr>
        </w:div>
        <w:div w:id="140969844">
          <w:marLeft w:val="0"/>
          <w:marRight w:val="0"/>
          <w:marTop w:val="0"/>
          <w:marBottom w:val="0"/>
          <w:divBdr>
            <w:top w:val="none" w:sz="0" w:space="0" w:color="auto"/>
            <w:left w:val="none" w:sz="0" w:space="0" w:color="auto"/>
            <w:bottom w:val="none" w:sz="0" w:space="0" w:color="auto"/>
            <w:right w:val="none" w:sz="0" w:space="0" w:color="auto"/>
          </w:divBdr>
        </w:div>
        <w:div w:id="289093223">
          <w:marLeft w:val="0"/>
          <w:marRight w:val="0"/>
          <w:marTop w:val="0"/>
          <w:marBottom w:val="0"/>
          <w:divBdr>
            <w:top w:val="none" w:sz="0" w:space="0" w:color="auto"/>
            <w:left w:val="none" w:sz="0" w:space="0" w:color="auto"/>
            <w:bottom w:val="none" w:sz="0" w:space="0" w:color="auto"/>
            <w:right w:val="none" w:sz="0" w:space="0" w:color="auto"/>
          </w:divBdr>
        </w:div>
        <w:div w:id="876547741">
          <w:marLeft w:val="0"/>
          <w:marRight w:val="0"/>
          <w:marTop w:val="0"/>
          <w:marBottom w:val="0"/>
          <w:divBdr>
            <w:top w:val="none" w:sz="0" w:space="0" w:color="auto"/>
            <w:left w:val="none" w:sz="0" w:space="0" w:color="auto"/>
            <w:bottom w:val="none" w:sz="0" w:space="0" w:color="auto"/>
            <w:right w:val="none" w:sz="0" w:space="0" w:color="auto"/>
          </w:divBdr>
        </w:div>
        <w:div w:id="911624781">
          <w:marLeft w:val="0"/>
          <w:marRight w:val="0"/>
          <w:marTop w:val="0"/>
          <w:marBottom w:val="0"/>
          <w:divBdr>
            <w:top w:val="none" w:sz="0" w:space="0" w:color="auto"/>
            <w:left w:val="none" w:sz="0" w:space="0" w:color="auto"/>
            <w:bottom w:val="none" w:sz="0" w:space="0" w:color="auto"/>
            <w:right w:val="none" w:sz="0" w:space="0" w:color="auto"/>
          </w:divBdr>
        </w:div>
        <w:div w:id="984436438">
          <w:marLeft w:val="0"/>
          <w:marRight w:val="0"/>
          <w:marTop w:val="0"/>
          <w:marBottom w:val="0"/>
          <w:divBdr>
            <w:top w:val="none" w:sz="0" w:space="0" w:color="auto"/>
            <w:left w:val="none" w:sz="0" w:space="0" w:color="auto"/>
            <w:bottom w:val="none" w:sz="0" w:space="0" w:color="auto"/>
            <w:right w:val="none" w:sz="0" w:space="0" w:color="auto"/>
          </w:divBdr>
        </w:div>
        <w:div w:id="1512068785">
          <w:marLeft w:val="0"/>
          <w:marRight w:val="0"/>
          <w:marTop w:val="0"/>
          <w:marBottom w:val="0"/>
          <w:divBdr>
            <w:top w:val="none" w:sz="0" w:space="0" w:color="auto"/>
            <w:left w:val="none" w:sz="0" w:space="0" w:color="auto"/>
            <w:bottom w:val="none" w:sz="0" w:space="0" w:color="auto"/>
            <w:right w:val="none" w:sz="0" w:space="0" w:color="auto"/>
          </w:divBdr>
        </w:div>
        <w:div w:id="1682320655">
          <w:marLeft w:val="0"/>
          <w:marRight w:val="0"/>
          <w:marTop w:val="0"/>
          <w:marBottom w:val="0"/>
          <w:divBdr>
            <w:top w:val="none" w:sz="0" w:space="0" w:color="auto"/>
            <w:left w:val="none" w:sz="0" w:space="0" w:color="auto"/>
            <w:bottom w:val="none" w:sz="0" w:space="0" w:color="auto"/>
            <w:right w:val="none" w:sz="0" w:space="0" w:color="auto"/>
          </w:divBdr>
        </w:div>
        <w:div w:id="1731078927">
          <w:marLeft w:val="0"/>
          <w:marRight w:val="0"/>
          <w:marTop w:val="0"/>
          <w:marBottom w:val="0"/>
          <w:divBdr>
            <w:top w:val="none" w:sz="0" w:space="0" w:color="auto"/>
            <w:left w:val="none" w:sz="0" w:space="0" w:color="auto"/>
            <w:bottom w:val="none" w:sz="0" w:space="0" w:color="auto"/>
            <w:right w:val="none" w:sz="0" w:space="0" w:color="auto"/>
          </w:divBdr>
        </w:div>
        <w:div w:id="1812793517">
          <w:marLeft w:val="0"/>
          <w:marRight w:val="0"/>
          <w:marTop w:val="0"/>
          <w:marBottom w:val="0"/>
          <w:divBdr>
            <w:top w:val="none" w:sz="0" w:space="0" w:color="auto"/>
            <w:left w:val="none" w:sz="0" w:space="0" w:color="auto"/>
            <w:bottom w:val="none" w:sz="0" w:space="0" w:color="auto"/>
            <w:right w:val="none" w:sz="0" w:space="0" w:color="auto"/>
          </w:divBdr>
        </w:div>
        <w:div w:id="1946035767">
          <w:marLeft w:val="0"/>
          <w:marRight w:val="0"/>
          <w:marTop w:val="0"/>
          <w:marBottom w:val="0"/>
          <w:divBdr>
            <w:top w:val="none" w:sz="0" w:space="0" w:color="auto"/>
            <w:left w:val="none" w:sz="0" w:space="0" w:color="auto"/>
            <w:bottom w:val="none" w:sz="0" w:space="0" w:color="auto"/>
            <w:right w:val="none" w:sz="0" w:space="0" w:color="auto"/>
          </w:divBdr>
        </w:div>
      </w:divsChild>
    </w:div>
    <w:div w:id="1628776692">
      <w:bodyDiv w:val="1"/>
      <w:marLeft w:val="0"/>
      <w:marRight w:val="0"/>
      <w:marTop w:val="0"/>
      <w:marBottom w:val="0"/>
      <w:divBdr>
        <w:top w:val="none" w:sz="0" w:space="0" w:color="auto"/>
        <w:left w:val="none" w:sz="0" w:space="0" w:color="auto"/>
        <w:bottom w:val="none" w:sz="0" w:space="0" w:color="auto"/>
        <w:right w:val="none" w:sz="0" w:space="0" w:color="auto"/>
      </w:divBdr>
    </w:div>
    <w:div w:id="187080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data.fda.gov/scripts/cdrh/cfdocs/cfcfr/CFRSearch.cfm?fr=312.32" TargetMode="External"/><Relationship Id="rId13" Type="http://schemas.openxmlformats.org/officeDocument/2006/relationships/hyperlink" Target="http://www.accessdata.fda.gov/scripts/cdrh/cfdocs/cfcfr/cfrsearch.cf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pkinsmedicine.org/institutional_review_board/guidelines_policies/organization_policies/103_6bi.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pkinsmedicine.org/institutional_review_board/guidelines_policies/organization_policies/103_6b.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opkinsmedicine.org/bin/e/l/unanticipatedflowchart.pdf"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hopkinsmedicine.org/institutional_review_board/guidelines_policies/organization_policies/103_6b.html" TargetMode="External"/><Relationship Id="rId14" Type="http://schemas.openxmlformats.org/officeDocument/2006/relationships/hyperlink" Target="http://www.fda.gov/downloads/Drugs/GuidanceComplianceRegulatoryInformation/Guidances/UCM22735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QA%20Tools-Templates-Protocol%20Verbiage\Audit-Monitoring\Reports\Pre-Enrollment%20Review%20-%20JHU%20Sponsor-Investigator%20of%20IND-IDE\Pre%20Enrollment%20Review%20Report%20-%20JHU%20IND%20Sponsor-Investigat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8DFDB-4683-4B94-A4D3-B93AB5663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 Enrollment Review Report - JHU IND Sponsor-Investigator</Template>
  <TotalTime>9</TotalTime>
  <Pages>1</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4076</CharactersWithSpaces>
  <SharedDoc>false</SharedDoc>
  <HLinks>
    <vt:vector size="132" baseType="variant">
      <vt:variant>
        <vt:i4>1245293</vt:i4>
      </vt:variant>
      <vt:variant>
        <vt:i4>66</vt:i4>
      </vt:variant>
      <vt:variant>
        <vt:i4>0</vt:i4>
      </vt:variant>
      <vt:variant>
        <vt:i4>5</vt:i4>
      </vt:variant>
      <vt:variant>
        <vt:lpwstr>http://oba.od.nih.gov/oba/rac/Guidelines/APPENDIX_M.htm</vt:lpwstr>
      </vt:variant>
      <vt:variant>
        <vt:lpwstr/>
      </vt:variant>
      <vt:variant>
        <vt:i4>8060977</vt:i4>
      </vt:variant>
      <vt:variant>
        <vt:i4>63</vt:i4>
      </vt:variant>
      <vt:variant>
        <vt:i4>0</vt:i4>
      </vt:variant>
      <vt:variant>
        <vt:i4>5</vt:i4>
      </vt:variant>
      <vt:variant>
        <vt:lpwstr>http://www.fda.gov/downloads/Drugs/GuidanceComplianceRegulatoryInformation/Guidances/UCM227351.pdf</vt:lpwstr>
      </vt:variant>
      <vt:variant>
        <vt:lpwstr/>
      </vt:variant>
      <vt:variant>
        <vt:i4>524298</vt:i4>
      </vt:variant>
      <vt:variant>
        <vt:i4>60</vt:i4>
      </vt:variant>
      <vt:variant>
        <vt:i4>0</vt:i4>
      </vt:variant>
      <vt:variant>
        <vt:i4>5</vt:i4>
      </vt:variant>
      <vt:variant>
        <vt:lpwstr>http://www.accessdata.fda.gov/scripts/cdrh/cfdocs/cfcfr/cfrsearch.cfm</vt:lpwstr>
      </vt:variant>
      <vt:variant>
        <vt:lpwstr/>
      </vt:variant>
      <vt:variant>
        <vt:i4>5636109</vt:i4>
      </vt:variant>
      <vt:variant>
        <vt:i4>57</vt:i4>
      </vt:variant>
      <vt:variant>
        <vt:i4>0</vt:i4>
      </vt:variant>
      <vt:variant>
        <vt:i4>5</vt:i4>
      </vt:variant>
      <vt:variant>
        <vt:lpwstr>http://www.hopkinsmedicine.org/hse/ibc/index.html</vt:lpwstr>
      </vt:variant>
      <vt:variant>
        <vt:lpwstr/>
      </vt:variant>
      <vt:variant>
        <vt:i4>3407892</vt:i4>
      </vt:variant>
      <vt:variant>
        <vt:i4>54</vt:i4>
      </vt:variant>
      <vt:variant>
        <vt:i4>0</vt:i4>
      </vt:variant>
      <vt:variant>
        <vt:i4>5</vt:i4>
      </vt:variant>
      <vt:variant>
        <vt:lpwstr>http://www.hopkinsmedicine.org/institutional_review_board/guidelines_policies/organization_policies/103_6b.html</vt:lpwstr>
      </vt:variant>
      <vt:variant>
        <vt:lpwstr/>
      </vt:variant>
      <vt:variant>
        <vt:i4>786432</vt:i4>
      </vt:variant>
      <vt:variant>
        <vt:i4>51</vt:i4>
      </vt:variant>
      <vt:variant>
        <vt:i4>0</vt:i4>
      </vt:variant>
      <vt:variant>
        <vt:i4>5</vt:i4>
      </vt:variant>
      <vt:variant>
        <vt:lpwstr>http://www.hopkinsmedicine.org/bin/e/l/unanticipatedflowchart.pdf</vt:lpwstr>
      </vt:variant>
      <vt:variant>
        <vt:lpwstr/>
      </vt:variant>
      <vt:variant>
        <vt:i4>1245293</vt:i4>
      </vt:variant>
      <vt:variant>
        <vt:i4>48</vt:i4>
      </vt:variant>
      <vt:variant>
        <vt:i4>0</vt:i4>
      </vt:variant>
      <vt:variant>
        <vt:i4>5</vt:i4>
      </vt:variant>
      <vt:variant>
        <vt:lpwstr>http://oba.od.nih.gov/oba/rac/Guidelines/APPENDIX_M.htm</vt:lpwstr>
      </vt:variant>
      <vt:variant>
        <vt:lpwstr/>
      </vt:variant>
      <vt:variant>
        <vt:i4>7798888</vt:i4>
      </vt:variant>
      <vt:variant>
        <vt:i4>45</vt:i4>
      </vt:variant>
      <vt:variant>
        <vt:i4>0</vt:i4>
      </vt:variant>
      <vt:variant>
        <vt:i4>5</vt:i4>
      </vt:variant>
      <vt:variant>
        <vt:lpwstr>http://www.fda.gov/downloads/RegulatoryInformation/Guidances/UCM126838.pdf</vt:lpwstr>
      </vt:variant>
      <vt:variant>
        <vt:lpwstr/>
      </vt:variant>
      <vt:variant>
        <vt:i4>983063</vt:i4>
      </vt:variant>
      <vt:variant>
        <vt:i4>42</vt:i4>
      </vt:variant>
      <vt:variant>
        <vt:i4>0</vt:i4>
      </vt:variant>
      <vt:variant>
        <vt:i4>5</vt:i4>
      </vt:variant>
      <vt:variant>
        <vt:lpwstr>https://register.clinicaltrials.gov/prs/html/fdama-113-requirements.html</vt:lpwstr>
      </vt:variant>
      <vt:variant>
        <vt:lpwstr/>
      </vt:variant>
      <vt:variant>
        <vt:i4>5963833</vt:i4>
      </vt:variant>
      <vt:variant>
        <vt:i4>39</vt:i4>
      </vt:variant>
      <vt:variant>
        <vt:i4>0</vt:i4>
      </vt:variant>
      <vt:variant>
        <vt:i4>5</vt:i4>
      </vt:variant>
      <vt:variant>
        <vt:lpwstr>http://prsinfo.clinicaltrials.gov/results_definitions.html</vt:lpwstr>
      </vt:variant>
      <vt:variant>
        <vt:lpwstr/>
      </vt:variant>
      <vt:variant>
        <vt:i4>3407907</vt:i4>
      </vt:variant>
      <vt:variant>
        <vt:i4>36</vt:i4>
      </vt:variant>
      <vt:variant>
        <vt:i4>0</vt:i4>
      </vt:variant>
      <vt:variant>
        <vt:i4>5</vt:i4>
      </vt:variant>
      <vt:variant>
        <vt:lpwstr>http://www.chestjournal.org/content/136/1/295.full.html</vt:lpwstr>
      </vt:variant>
      <vt:variant>
        <vt:lpwstr/>
      </vt:variant>
      <vt:variant>
        <vt:i4>3538988</vt:i4>
      </vt:variant>
      <vt:variant>
        <vt:i4>33</vt:i4>
      </vt:variant>
      <vt:variant>
        <vt:i4>0</vt:i4>
      </vt:variant>
      <vt:variant>
        <vt:i4>5</vt:i4>
      </vt:variant>
      <vt:variant>
        <vt:lpwstr>http://www.clinicaltrials.gov/</vt:lpwstr>
      </vt:variant>
      <vt:variant>
        <vt:lpwstr/>
      </vt:variant>
      <vt:variant>
        <vt:i4>7143461</vt:i4>
      </vt:variant>
      <vt:variant>
        <vt:i4>30</vt:i4>
      </vt:variant>
      <vt:variant>
        <vt:i4>0</vt:i4>
      </vt:variant>
      <vt:variant>
        <vt:i4>5</vt:i4>
      </vt:variant>
      <vt:variant>
        <vt:lpwstr>http://www.hhs.gov/ohrp/policy/advevntguid.html</vt:lpwstr>
      </vt:variant>
      <vt:variant>
        <vt:lpwstr/>
      </vt:variant>
      <vt:variant>
        <vt:i4>7995455</vt:i4>
      </vt:variant>
      <vt:variant>
        <vt:i4>27</vt:i4>
      </vt:variant>
      <vt:variant>
        <vt:i4>0</vt:i4>
      </vt:variant>
      <vt:variant>
        <vt:i4>5</vt:i4>
      </vt:variant>
      <vt:variant>
        <vt:lpwstr>http://www.fda.gov/downloads/Drugs/GuidanceComplianceRegulatoryInformation/Guidances/UCM239052.pdf</vt:lpwstr>
      </vt:variant>
      <vt:variant>
        <vt:lpwstr/>
      </vt:variant>
      <vt:variant>
        <vt:i4>7340138</vt:i4>
      </vt:variant>
      <vt:variant>
        <vt:i4>24</vt:i4>
      </vt:variant>
      <vt:variant>
        <vt:i4>0</vt:i4>
      </vt:variant>
      <vt:variant>
        <vt:i4>5</vt:i4>
      </vt:variant>
      <vt:variant>
        <vt:lpwstr>http://www.fda.gov/downloads/RegulatoryInformation/Guidances/UCM256525.pdf</vt:lpwstr>
      </vt:variant>
      <vt:variant>
        <vt:lpwstr/>
      </vt:variant>
      <vt:variant>
        <vt:i4>196701</vt:i4>
      </vt:variant>
      <vt:variant>
        <vt:i4>21</vt:i4>
      </vt:variant>
      <vt:variant>
        <vt:i4>0</vt:i4>
      </vt:variant>
      <vt:variant>
        <vt:i4>5</vt:i4>
      </vt:variant>
      <vt:variant>
        <vt:lpwstr>http://www.fda.gov/RegulatoryInformation/Guidances/ucm126832.htm</vt:lpwstr>
      </vt:variant>
      <vt:variant>
        <vt:lpwstr/>
      </vt:variant>
      <vt:variant>
        <vt:i4>7602274</vt:i4>
      </vt:variant>
      <vt:variant>
        <vt:i4>18</vt:i4>
      </vt:variant>
      <vt:variant>
        <vt:i4>0</vt:i4>
      </vt:variant>
      <vt:variant>
        <vt:i4>5</vt:i4>
      </vt:variant>
      <vt:variant>
        <vt:lpwstr>http://www.fda.gov/downloads/RegulatoryInformation/Guidances/UCM214282.pdf</vt:lpwstr>
      </vt:variant>
      <vt:variant>
        <vt:lpwstr/>
      </vt:variant>
      <vt:variant>
        <vt:i4>7733296</vt:i4>
      </vt:variant>
      <vt:variant>
        <vt:i4>15</vt:i4>
      </vt:variant>
      <vt:variant>
        <vt:i4>0</vt:i4>
      </vt:variant>
      <vt:variant>
        <vt:i4>5</vt:i4>
      </vt:variant>
      <vt:variant>
        <vt:lpwstr>http://www.fda.gov/downloads/Drugs/GuidanceComplianceRegulatoryInformation/Guidances/UCM187772.pdf</vt:lpwstr>
      </vt:variant>
      <vt:variant>
        <vt:lpwstr/>
      </vt:variant>
      <vt:variant>
        <vt:i4>6881396</vt:i4>
      </vt:variant>
      <vt:variant>
        <vt:i4>12</vt:i4>
      </vt:variant>
      <vt:variant>
        <vt:i4>0</vt:i4>
      </vt:variant>
      <vt:variant>
        <vt:i4>5</vt:i4>
      </vt:variant>
      <vt:variant>
        <vt:lpwstr>http://www.fda.gov/Drugs/DevelopmentApprovalProcess/HowDrugsareDevelopedandApproved/ApprovalApplications/InvestigationalNewDrugINDApplication/ucm071098.htm</vt:lpwstr>
      </vt:variant>
      <vt:variant>
        <vt:lpwstr/>
      </vt:variant>
      <vt:variant>
        <vt:i4>3670126</vt:i4>
      </vt:variant>
      <vt:variant>
        <vt:i4>9</vt:i4>
      </vt:variant>
      <vt:variant>
        <vt:i4>0</vt:i4>
      </vt:variant>
      <vt:variant>
        <vt:i4>5</vt:i4>
      </vt:variant>
      <vt:variant>
        <vt:lpwstr>http:/www.fda.gov/Drugs/DevelopmentApprovalProcess/HowDrugsareDevelopedandApproved/ApprovalApplications/InvestigationalNewDrugINDApplication/ucm176259.htm</vt:lpwstr>
      </vt:variant>
      <vt:variant>
        <vt:lpwstr/>
      </vt:variant>
      <vt:variant>
        <vt:i4>7667801</vt:i4>
      </vt:variant>
      <vt:variant>
        <vt:i4>6</vt:i4>
      </vt:variant>
      <vt:variant>
        <vt:i4>0</vt:i4>
      </vt:variant>
      <vt:variant>
        <vt:i4>5</vt:i4>
      </vt:variant>
      <vt:variant>
        <vt:lpwstr>http://www.hopkinsmedicine.org/institutional_review_board/guidelines_policies/guidelines/</vt:lpwstr>
      </vt:variant>
      <vt:variant>
        <vt:lpwstr/>
      </vt:variant>
      <vt:variant>
        <vt:i4>3080198</vt:i4>
      </vt:variant>
      <vt:variant>
        <vt:i4>3</vt:i4>
      </vt:variant>
      <vt:variant>
        <vt:i4>0</vt:i4>
      </vt:variant>
      <vt:variant>
        <vt:i4>5</vt:i4>
      </vt:variant>
      <vt:variant>
        <vt:lpwstr>http://www.hopkinsmedicine.org/institutional_review_board/guidelines_policies/guidelines/investigatorresponsibility.html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Oncology</dc:creator>
  <cp:lastModifiedBy>foxbi</cp:lastModifiedBy>
  <cp:revision>4</cp:revision>
  <cp:lastPrinted>2012-10-11T17:12:00Z</cp:lastPrinted>
  <dcterms:created xsi:type="dcterms:W3CDTF">2013-08-30T20:29:00Z</dcterms:created>
  <dcterms:modified xsi:type="dcterms:W3CDTF">2013-09-02T21:15:00Z</dcterms:modified>
</cp:coreProperties>
</file>